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BF9" w:rsidRPr="00371BF9" w:rsidRDefault="00371BF9" w:rsidP="00371BF9">
      <w:pPr>
        <w:pStyle w:val="2"/>
      </w:pPr>
      <w:bookmarkStart w:id="0" w:name="_GoBack"/>
      <w:r w:rsidRPr="00371BF9">
        <w:rPr>
          <w:rFonts w:hint="eastAsia"/>
        </w:rPr>
        <w:t>保障装配式混凝土建筑工程质量！山西出台新文件</w:t>
      </w:r>
    </w:p>
    <w:bookmarkEnd w:id="0"/>
    <w:p w:rsidR="00371BF9" w:rsidRPr="00371BF9" w:rsidRDefault="00371BF9" w:rsidP="00371BF9">
      <w:pPr>
        <w:widowControl/>
        <w:shd w:val="clear" w:color="auto" w:fill="FFFFFF"/>
        <w:wordWrap w:val="0"/>
        <w:spacing w:line="300" w:lineRule="atLeast"/>
        <w:jc w:val="left"/>
        <w:rPr>
          <w:rFonts w:ascii="楷体" w:eastAsia="楷体" w:hAnsi="楷体" w:cs="宋体"/>
          <w:color w:val="000000" w:themeColor="text1"/>
          <w:spacing w:val="8"/>
          <w:kern w:val="0"/>
          <w:szCs w:val="21"/>
        </w:rPr>
      </w:pPr>
      <w:r w:rsidRPr="00371BF9">
        <w:rPr>
          <w:rFonts w:ascii="楷体" w:eastAsia="楷体" w:hAnsi="楷体" w:cs="宋体" w:hint="eastAsia"/>
          <w:color w:val="000000" w:themeColor="text1"/>
          <w:spacing w:val="8"/>
          <w:kern w:val="0"/>
          <w:szCs w:val="21"/>
        </w:rPr>
        <w:t>出处:</w:t>
      </w:r>
      <w:hyperlink r:id="rId4" w:history="1">
        <w:proofErr w:type="gramStart"/>
        <w:r w:rsidRPr="00371BF9">
          <w:rPr>
            <w:rFonts w:ascii="楷体" w:eastAsia="楷体" w:hAnsi="楷体" w:cs="宋体" w:hint="eastAsia"/>
            <w:color w:val="000000" w:themeColor="text1"/>
            <w:spacing w:val="8"/>
            <w:kern w:val="0"/>
            <w:szCs w:val="21"/>
          </w:rPr>
          <w:t>研砼治筑</w:t>
        </w:r>
        <w:proofErr w:type="gramEnd"/>
        <w:r w:rsidRPr="00371BF9">
          <w:rPr>
            <w:rFonts w:ascii="楷体" w:eastAsia="楷体" w:hAnsi="楷体" w:cs="宋体" w:hint="eastAsia"/>
            <w:color w:val="000000" w:themeColor="text1"/>
            <w:spacing w:val="8"/>
            <w:kern w:val="0"/>
            <w:szCs w:val="21"/>
          </w:rPr>
          <w:t>建筑工业化信息平台</w:t>
        </w:r>
      </w:hyperlink>
      <w:r w:rsidRPr="00371BF9">
        <w:rPr>
          <w:rFonts w:ascii="楷体" w:eastAsia="楷体" w:hAnsi="楷体" w:cs="宋体" w:hint="eastAsia"/>
          <w:color w:val="000000" w:themeColor="text1"/>
          <w:spacing w:val="8"/>
          <w:kern w:val="0"/>
          <w:szCs w:val="21"/>
        </w:rPr>
        <w:t xml:space="preserve">  2019.2.25</w:t>
      </w:r>
    </w:p>
    <w:p w:rsidR="00371BF9" w:rsidRPr="00371BF9" w:rsidRDefault="00371BF9" w:rsidP="00371BF9">
      <w:pPr>
        <w:widowControl/>
        <w:shd w:val="clear" w:color="auto" w:fill="FFFFFF"/>
        <w:wordWrap w:val="0"/>
        <w:spacing w:line="300" w:lineRule="atLeast"/>
        <w:jc w:val="left"/>
        <w:rPr>
          <w:rFonts w:ascii="楷体" w:eastAsia="楷体" w:hAnsi="楷体" w:cs="宋体"/>
          <w:color w:val="000000" w:themeColor="text1"/>
          <w:spacing w:val="8"/>
          <w:kern w:val="0"/>
          <w:szCs w:val="21"/>
        </w:rPr>
      </w:pPr>
      <w:r w:rsidRPr="00371BF9">
        <w:rPr>
          <w:rFonts w:ascii="楷体" w:eastAsia="楷体" w:hAnsi="楷体" w:cs="宋体" w:hint="eastAsia"/>
          <w:color w:val="000000" w:themeColor="text1"/>
          <w:spacing w:val="8"/>
          <w:kern w:val="0"/>
          <w:szCs w:val="21"/>
        </w:rPr>
        <w:t>链接:</w:t>
      </w:r>
      <w:r w:rsidRPr="00371BF9">
        <w:rPr>
          <w:rFonts w:ascii="楷体" w:eastAsia="楷体" w:hAnsi="楷体"/>
          <w:color w:val="000000" w:themeColor="text1"/>
          <w:szCs w:val="21"/>
        </w:rPr>
        <w:t xml:space="preserve"> </w:t>
      </w:r>
      <w:hyperlink r:id="rId5" w:history="1">
        <w:r w:rsidRPr="00371BF9">
          <w:rPr>
            <w:rStyle w:val="a3"/>
            <w:rFonts w:ascii="楷体" w:eastAsia="楷体" w:hAnsi="楷体" w:cs="宋体"/>
            <w:color w:val="000000" w:themeColor="text1"/>
            <w:spacing w:val="8"/>
            <w:kern w:val="0"/>
            <w:szCs w:val="21"/>
          </w:rPr>
          <w:t>https://mp.weixin.qq.com/s/AZ1Jp5dunO6NsZpeRWqqeg</w:t>
        </w:r>
      </w:hyperlink>
    </w:p>
    <w:p w:rsidR="00371BF9" w:rsidRPr="00371BF9" w:rsidRDefault="00371BF9" w:rsidP="00371BF9">
      <w:pPr>
        <w:pStyle w:val="a5"/>
        <w:spacing w:before="0" w:beforeAutospacing="0" w:after="0" w:afterAutospacing="0"/>
        <w:rPr>
          <w:rFonts w:ascii="楷体" w:eastAsia="楷体" w:hAnsi="楷体" w:hint="eastAsia"/>
          <w:sz w:val="28"/>
          <w:szCs w:val="28"/>
        </w:rPr>
      </w:pPr>
      <w:r w:rsidRPr="00371BF9">
        <w:rPr>
          <w:rFonts w:ascii="楷体" w:eastAsia="楷体" w:hAnsi="楷体"/>
          <w:sz w:val="28"/>
          <w:szCs w:val="28"/>
        </w:rPr>
        <w:t>2月20日，山西省住建厅印发《</w:t>
      </w:r>
      <w:r w:rsidRPr="00371BF9">
        <w:rPr>
          <w:rStyle w:val="a6"/>
          <w:rFonts w:ascii="楷体" w:eastAsia="楷体" w:hAnsi="楷体"/>
          <w:color w:val="006A61"/>
          <w:sz w:val="28"/>
          <w:szCs w:val="28"/>
        </w:rPr>
        <w:t>山西省装配式混凝土建筑工程施工质量管理技术导则（试行）</w:t>
      </w:r>
      <w:r w:rsidRPr="00371BF9">
        <w:rPr>
          <w:rFonts w:ascii="楷体" w:eastAsia="楷体" w:hAnsi="楷体"/>
          <w:sz w:val="28"/>
          <w:szCs w:val="28"/>
        </w:rPr>
        <w:t>》，为进一步规范山西省装配式混凝土建筑工程参建各方的质量行为，保障装配式混凝土建筑工程质量。</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建设单位</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Fonts w:ascii="楷体" w:eastAsia="楷体" w:hAnsi="楷体"/>
          <w:sz w:val="28"/>
          <w:szCs w:val="28"/>
        </w:rPr>
        <w:t>应对装配式混凝土建筑工程质量承担首要责任。</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1</w:t>
      </w:r>
      <w:r w:rsidRPr="00371BF9">
        <w:rPr>
          <w:rFonts w:ascii="Calibri" w:eastAsia="楷体" w:hAnsi="Calibri" w:cs="Calibri"/>
          <w:sz w:val="28"/>
          <w:szCs w:val="28"/>
        </w:rPr>
        <w:t> </w:t>
      </w:r>
      <w:r w:rsidRPr="00371BF9">
        <w:rPr>
          <w:rFonts w:ascii="楷体" w:eastAsia="楷体" w:hAnsi="楷体"/>
          <w:sz w:val="28"/>
          <w:szCs w:val="28"/>
        </w:rPr>
        <w:t>在工程建设全过程中，应根据装配式混凝土建筑工程的特点，全面协调设计、监理、施工、预制构件生产等参建各方主体的协作关系，承担综合管理协调责任。</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2</w:t>
      </w:r>
      <w:r w:rsidRPr="00371BF9">
        <w:rPr>
          <w:rFonts w:ascii="Calibri" w:eastAsia="楷体" w:hAnsi="Calibri" w:cs="Calibri"/>
          <w:sz w:val="28"/>
          <w:szCs w:val="28"/>
        </w:rPr>
        <w:t>  </w:t>
      </w:r>
      <w:r w:rsidRPr="00371BF9">
        <w:rPr>
          <w:rFonts w:ascii="楷体" w:eastAsia="楷体" w:hAnsi="楷体"/>
          <w:sz w:val="28"/>
          <w:szCs w:val="28"/>
        </w:rPr>
        <w:t>应将装配式混凝土建筑工程的预制构件生产、施工安装纳入施工总承包管理，不得肢解发包工程。</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3</w:t>
      </w:r>
      <w:r w:rsidRPr="00371BF9">
        <w:rPr>
          <w:rFonts w:ascii="Calibri" w:eastAsia="楷体" w:hAnsi="Calibri" w:cs="Calibri"/>
          <w:sz w:val="28"/>
          <w:szCs w:val="28"/>
        </w:rPr>
        <w:t> </w:t>
      </w:r>
      <w:r w:rsidRPr="00371BF9">
        <w:rPr>
          <w:rFonts w:ascii="楷体" w:eastAsia="楷体" w:hAnsi="楷体"/>
          <w:sz w:val="28"/>
          <w:szCs w:val="28"/>
        </w:rPr>
        <w:t>应将装配式混凝土建筑工程施工图设计文件委托施工图审查机构进行审查。涉及结构安全、主要使用功能、装配率变化等方面的重大变更，应当委托原施工图审查机构重新进行审查。</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4</w:t>
      </w:r>
      <w:r w:rsidRPr="00371BF9">
        <w:rPr>
          <w:rFonts w:ascii="Calibri" w:eastAsia="楷体" w:hAnsi="Calibri" w:cs="Calibri"/>
          <w:sz w:val="28"/>
          <w:szCs w:val="28"/>
        </w:rPr>
        <w:t> </w:t>
      </w:r>
      <w:r w:rsidRPr="00371BF9">
        <w:rPr>
          <w:rFonts w:ascii="楷体" w:eastAsia="楷体" w:hAnsi="楷体"/>
          <w:sz w:val="28"/>
          <w:szCs w:val="28"/>
        </w:rPr>
        <w:t>组织图纸会审及设计交底工作时，应召集预制构件生产单位一并参加。</w:t>
      </w:r>
    </w:p>
    <w:p w:rsidR="00371BF9" w:rsidRPr="00371BF9" w:rsidRDefault="00371BF9" w:rsidP="00371BF9">
      <w:pPr>
        <w:pStyle w:val="a5"/>
        <w:spacing w:before="0" w:beforeAutospacing="0" w:after="0" w:afterAutospacing="0"/>
        <w:rPr>
          <w:rFonts w:ascii="楷体" w:eastAsia="楷体" w:hAnsi="楷体" w:hint="eastAsia"/>
          <w:sz w:val="28"/>
          <w:szCs w:val="28"/>
        </w:rPr>
      </w:pPr>
      <w:r w:rsidRPr="00371BF9">
        <w:rPr>
          <w:rStyle w:val="a6"/>
          <w:rFonts w:ascii="楷体" w:eastAsia="楷体" w:hAnsi="楷体"/>
          <w:sz w:val="28"/>
          <w:szCs w:val="28"/>
        </w:rPr>
        <w:t>5</w:t>
      </w:r>
      <w:r w:rsidRPr="00371BF9">
        <w:rPr>
          <w:rFonts w:ascii="Calibri" w:eastAsia="楷体" w:hAnsi="Calibri" w:cs="Calibri"/>
          <w:sz w:val="28"/>
          <w:szCs w:val="28"/>
        </w:rPr>
        <w:t> </w:t>
      </w:r>
      <w:r w:rsidRPr="00371BF9">
        <w:rPr>
          <w:rFonts w:ascii="楷体" w:eastAsia="楷体" w:hAnsi="楷体"/>
          <w:sz w:val="28"/>
          <w:szCs w:val="28"/>
        </w:rPr>
        <w:t>应当组织设计、监理、施工、预制构件生产、工程质量检测等相关单位参加首批预制构件质量验收；组织预制构件安装首层(首段)质量验收。</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设计单位</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lastRenderedPageBreak/>
        <w:t>1</w:t>
      </w:r>
      <w:r w:rsidRPr="00371BF9">
        <w:rPr>
          <w:rFonts w:ascii="Calibri" w:eastAsia="楷体" w:hAnsi="Calibri" w:cs="Calibri"/>
          <w:sz w:val="28"/>
          <w:szCs w:val="28"/>
        </w:rPr>
        <w:t> </w:t>
      </w:r>
      <w:r w:rsidRPr="00371BF9">
        <w:rPr>
          <w:rFonts w:ascii="楷体" w:eastAsia="楷体" w:hAnsi="楷体"/>
          <w:sz w:val="28"/>
          <w:szCs w:val="28"/>
        </w:rPr>
        <w:t>所出具的装配式混凝土建筑工程施工图设计文件应当满足《建筑工程设计文件编制深度规定》的要求。</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2</w:t>
      </w:r>
      <w:r w:rsidRPr="00371BF9">
        <w:rPr>
          <w:rFonts w:ascii="Calibri" w:eastAsia="楷体" w:hAnsi="Calibri" w:cs="Calibri"/>
          <w:sz w:val="28"/>
          <w:szCs w:val="28"/>
        </w:rPr>
        <w:t> </w:t>
      </w:r>
      <w:r w:rsidRPr="00371BF9">
        <w:rPr>
          <w:rFonts w:ascii="楷体" w:eastAsia="楷体" w:hAnsi="楷体"/>
          <w:sz w:val="28"/>
          <w:szCs w:val="28"/>
        </w:rPr>
        <w:t>应当加强建筑、结构、机电、装饰装修等各专业之间的沟通协作。对预制构件的尺寸、节点构造、机电安装预留预埋等提出的具体技术要求，应满足建筑、结构、机电安装和装饰装修等各专业以及构件制作、运输、安装等各环节的综合要求。</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3</w:t>
      </w:r>
      <w:r w:rsidRPr="00371BF9">
        <w:rPr>
          <w:rFonts w:ascii="Calibri" w:eastAsia="楷体" w:hAnsi="Calibri" w:cs="Calibri"/>
          <w:sz w:val="28"/>
          <w:szCs w:val="28"/>
        </w:rPr>
        <w:t> </w:t>
      </w:r>
      <w:r w:rsidRPr="00371BF9">
        <w:rPr>
          <w:rFonts w:ascii="楷体" w:eastAsia="楷体" w:hAnsi="楷体"/>
          <w:sz w:val="28"/>
          <w:szCs w:val="28"/>
        </w:rPr>
        <w:t>在施工图总说明中明确项目装配率。</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4</w:t>
      </w:r>
      <w:r w:rsidRPr="00371BF9">
        <w:rPr>
          <w:rStyle w:val="a6"/>
          <w:rFonts w:ascii="Calibri" w:eastAsia="楷体" w:hAnsi="Calibri" w:cs="Calibri"/>
          <w:sz w:val="28"/>
          <w:szCs w:val="28"/>
        </w:rPr>
        <w:t> </w:t>
      </w:r>
      <w:r w:rsidRPr="00371BF9">
        <w:rPr>
          <w:rFonts w:ascii="楷体" w:eastAsia="楷体" w:hAnsi="楷体"/>
          <w:sz w:val="28"/>
          <w:szCs w:val="28"/>
        </w:rPr>
        <w:t>对预制构件生产单位完成的构件深化设计成果进行确认。</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5</w:t>
      </w:r>
      <w:r w:rsidRPr="00371BF9">
        <w:rPr>
          <w:rFonts w:ascii="Calibri" w:eastAsia="楷体" w:hAnsi="Calibri" w:cs="Calibri"/>
          <w:sz w:val="28"/>
          <w:szCs w:val="28"/>
        </w:rPr>
        <w:t> </w:t>
      </w:r>
      <w:r w:rsidRPr="00371BF9">
        <w:rPr>
          <w:rFonts w:ascii="楷体" w:eastAsia="楷体" w:hAnsi="楷体"/>
          <w:sz w:val="28"/>
          <w:szCs w:val="28"/>
        </w:rPr>
        <w:t>应当就审查合格的施工图设计文件向建设、监理、施工、预制构件生产等单位进行设计交底。</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6</w:t>
      </w:r>
      <w:r w:rsidRPr="00371BF9">
        <w:rPr>
          <w:rFonts w:ascii="Calibri" w:eastAsia="楷体" w:hAnsi="Calibri" w:cs="Calibri"/>
          <w:sz w:val="28"/>
          <w:szCs w:val="28"/>
        </w:rPr>
        <w:t> </w:t>
      </w:r>
      <w:r w:rsidRPr="00371BF9">
        <w:rPr>
          <w:rFonts w:ascii="楷体" w:eastAsia="楷体" w:hAnsi="楷体"/>
          <w:sz w:val="28"/>
          <w:szCs w:val="28"/>
        </w:rPr>
        <w:t>参与装配式施工专项施工方案的审核，并对方案提出专业意见。</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7</w:t>
      </w:r>
      <w:r w:rsidRPr="00371BF9">
        <w:rPr>
          <w:rFonts w:ascii="Calibri" w:eastAsia="楷体" w:hAnsi="Calibri" w:cs="Calibri"/>
          <w:sz w:val="28"/>
          <w:szCs w:val="28"/>
        </w:rPr>
        <w:t> </w:t>
      </w:r>
      <w:r w:rsidRPr="00371BF9">
        <w:rPr>
          <w:rFonts w:ascii="楷体" w:eastAsia="楷体" w:hAnsi="楷体"/>
          <w:sz w:val="28"/>
          <w:szCs w:val="28"/>
        </w:rPr>
        <w:t>对铝合金模板系统的深化设计进行审核，参与铝合金模板系统的试拼装验收。</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8</w:t>
      </w:r>
      <w:r w:rsidRPr="00371BF9">
        <w:rPr>
          <w:rFonts w:ascii="Calibri" w:eastAsia="楷体" w:hAnsi="Calibri" w:cs="Calibri"/>
          <w:sz w:val="28"/>
          <w:szCs w:val="28"/>
        </w:rPr>
        <w:t> </w:t>
      </w:r>
      <w:r w:rsidRPr="00371BF9">
        <w:rPr>
          <w:rFonts w:ascii="楷体" w:eastAsia="楷体" w:hAnsi="楷体"/>
          <w:sz w:val="28"/>
          <w:szCs w:val="28"/>
        </w:rPr>
        <w:t>参加首批预制构件验收、构件安装首层（首段）等关键节点以及装配式混凝土结构子分部的工程质量验收，对构件生产和装配式施工是否符合设计要求进行检查。</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施工单位</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1</w:t>
      </w:r>
      <w:r w:rsidRPr="00371BF9">
        <w:rPr>
          <w:rStyle w:val="a6"/>
          <w:rFonts w:ascii="Calibri" w:eastAsia="楷体" w:hAnsi="Calibri" w:cs="Calibri"/>
          <w:sz w:val="28"/>
          <w:szCs w:val="28"/>
        </w:rPr>
        <w:t> </w:t>
      </w:r>
      <w:r w:rsidRPr="00371BF9">
        <w:rPr>
          <w:rFonts w:ascii="楷体" w:eastAsia="楷体" w:hAnsi="楷体"/>
          <w:sz w:val="28"/>
          <w:szCs w:val="28"/>
        </w:rPr>
        <w:t>对预制构件生产制作过程履行施工总承包质量管理任。</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2</w:t>
      </w:r>
      <w:r w:rsidRPr="00371BF9">
        <w:rPr>
          <w:rStyle w:val="a6"/>
          <w:rFonts w:ascii="Calibri" w:eastAsia="楷体" w:hAnsi="Calibri" w:cs="Calibri"/>
          <w:sz w:val="28"/>
          <w:szCs w:val="28"/>
        </w:rPr>
        <w:t> </w:t>
      </w:r>
      <w:r w:rsidRPr="00371BF9">
        <w:rPr>
          <w:rFonts w:ascii="楷体" w:eastAsia="楷体" w:hAnsi="楷体"/>
          <w:sz w:val="28"/>
          <w:szCs w:val="28"/>
        </w:rPr>
        <w:t>根据施工图设计文件、构件制作详图和相关技术标准编制装配式施工专项施工方案，报请企业技术负责人审核、监理单位项目总监审批后执行。</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lastRenderedPageBreak/>
        <w:t>3</w:t>
      </w:r>
      <w:r w:rsidRPr="00371BF9">
        <w:rPr>
          <w:rFonts w:ascii="Calibri" w:eastAsia="楷体" w:hAnsi="Calibri" w:cs="Calibri"/>
          <w:sz w:val="28"/>
          <w:szCs w:val="28"/>
        </w:rPr>
        <w:t> </w:t>
      </w:r>
      <w:r w:rsidRPr="00371BF9">
        <w:rPr>
          <w:rFonts w:ascii="楷体" w:eastAsia="楷体" w:hAnsi="楷体"/>
          <w:sz w:val="28"/>
          <w:szCs w:val="28"/>
        </w:rPr>
        <w:t>会同监理单位、预制构件生产单位对进入施工现场的预制构件质量进行验收。</w:t>
      </w:r>
    </w:p>
    <w:p w:rsidR="00371BF9" w:rsidRPr="00371BF9" w:rsidRDefault="00371BF9" w:rsidP="00371BF9">
      <w:pPr>
        <w:pStyle w:val="a5"/>
        <w:spacing w:before="0" w:beforeAutospacing="0" w:after="0" w:afterAutospacing="0"/>
        <w:rPr>
          <w:rFonts w:ascii="楷体" w:eastAsia="楷体" w:hAnsi="楷体"/>
          <w:sz w:val="28"/>
          <w:szCs w:val="28"/>
        </w:rPr>
      </w:pP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监理单位</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1</w:t>
      </w:r>
      <w:r w:rsidRPr="00371BF9">
        <w:rPr>
          <w:rFonts w:ascii="Calibri" w:eastAsia="楷体" w:hAnsi="Calibri" w:cs="Calibri"/>
          <w:sz w:val="28"/>
          <w:szCs w:val="28"/>
        </w:rPr>
        <w:t> </w:t>
      </w:r>
      <w:r w:rsidRPr="00371BF9">
        <w:rPr>
          <w:rFonts w:ascii="楷体" w:eastAsia="楷体" w:hAnsi="楷体"/>
          <w:sz w:val="28"/>
          <w:szCs w:val="28"/>
        </w:rPr>
        <w:t>应当根据装配式混凝土建筑的特点、相关技术标准、施工图设计文件和构件制作详图制定监理规划和专项监理实施细则。</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2</w:t>
      </w:r>
      <w:r w:rsidRPr="00371BF9">
        <w:rPr>
          <w:rStyle w:val="a6"/>
          <w:rFonts w:ascii="Calibri" w:eastAsia="楷体" w:hAnsi="Calibri" w:cs="Calibri"/>
          <w:sz w:val="28"/>
          <w:szCs w:val="28"/>
        </w:rPr>
        <w:t> </w:t>
      </w:r>
      <w:r w:rsidRPr="00371BF9">
        <w:rPr>
          <w:rFonts w:ascii="楷体" w:eastAsia="楷体" w:hAnsi="楷体"/>
          <w:sz w:val="28"/>
          <w:szCs w:val="28"/>
        </w:rPr>
        <w:t>当采用钢筋套筒灌浆连接工艺时，监理单位应审查所使用的灌浆料与套筒的匹配性，并在现场灌浆操作前，监督操作人员进行灌浆施工质量工艺检验。</w:t>
      </w:r>
    </w:p>
    <w:p w:rsidR="00371BF9" w:rsidRPr="00371BF9" w:rsidRDefault="00371BF9" w:rsidP="00371BF9">
      <w:pPr>
        <w:pStyle w:val="a5"/>
        <w:spacing w:before="0" w:beforeAutospacing="0" w:after="0" w:afterAutospacing="0"/>
        <w:rPr>
          <w:rFonts w:ascii="楷体" w:eastAsia="楷体" w:hAnsi="楷体"/>
          <w:sz w:val="28"/>
          <w:szCs w:val="28"/>
        </w:rPr>
      </w:pP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预制构件生产单位</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1</w:t>
      </w:r>
      <w:r w:rsidRPr="00371BF9">
        <w:rPr>
          <w:rFonts w:ascii="Calibri" w:eastAsia="楷体" w:hAnsi="Calibri" w:cs="Calibri"/>
          <w:sz w:val="28"/>
          <w:szCs w:val="28"/>
        </w:rPr>
        <w:t> </w:t>
      </w:r>
      <w:r w:rsidRPr="00371BF9">
        <w:rPr>
          <w:rFonts w:ascii="楷体" w:eastAsia="楷体" w:hAnsi="楷体"/>
          <w:sz w:val="28"/>
          <w:szCs w:val="28"/>
        </w:rPr>
        <w:t>应当建立生产制作全过程的信息化管理系统，宜运用建筑信息模型（BIM）、建筑物联网等先进技术，使构件生产的各个环节均能够处于受控及质量可追溯的状态。</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2</w:t>
      </w:r>
      <w:r w:rsidRPr="00371BF9">
        <w:rPr>
          <w:rFonts w:ascii="Calibri" w:eastAsia="楷体" w:hAnsi="Calibri" w:cs="Calibri"/>
          <w:sz w:val="28"/>
          <w:szCs w:val="28"/>
        </w:rPr>
        <w:t> </w:t>
      </w:r>
      <w:r w:rsidRPr="00371BF9">
        <w:rPr>
          <w:rFonts w:ascii="楷体" w:eastAsia="楷体" w:hAnsi="楷体"/>
          <w:sz w:val="28"/>
          <w:szCs w:val="28"/>
        </w:rPr>
        <w:t>预制构件生产单位应对其生产的产品质量负责，按照《装配式混凝土建筑技术标准》（GB/T51231）等标准规范以及合同约定的技术指标和供货要求，严格控制构件产品质量。</w:t>
      </w:r>
    </w:p>
    <w:p w:rsidR="00371BF9" w:rsidRPr="00371BF9" w:rsidRDefault="00371BF9" w:rsidP="00371BF9">
      <w:pPr>
        <w:pStyle w:val="a5"/>
        <w:spacing w:before="0" w:beforeAutospacing="0" w:after="0" w:afterAutospacing="0"/>
        <w:rPr>
          <w:rFonts w:ascii="楷体" w:eastAsia="楷体" w:hAnsi="楷体"/>
          <w:sz w:val="28"/>
          <w:szCs w:val="28"/>
        </w:rPr>
      </w:pP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套筒灌浆连接施工质量管理</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工艺检验</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Fonts w:ascii="楷体" w:eastAsia="楷体" w:hAnsi="楷体"/>
          <w:sz w:val="28"/>
          <w:szCs w:val="28"/>
        </w:rPr>
        <w:lastRenderedPageBreak/>
        <w:t>灌浆施工前，应进行灌浆施工质量的工艺检验。在施工专职质检人员及监理人员共同见证下，模拟现场施工条件制作相应数量的平行试件，进行抗拉强度检验，合格后方可进行灌浆施工。</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实行灌浆令制度</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Fonts w:ascii="楷体" w:eastAsia="楷体" w:hAnsi="楷体"/>
          <w:sz w:val="28"/>
          <w:szCs w:val="28"/>
        </w:rPr>
        <w:t>套筒灌浆前，施工单位应会同监理单位对灌浆准备工作、实施条件、安全措施等进行全面检查，重点是套筒内连接钢筋长度及位置、灌浆料强度、接缝分仓、分仓料性能、接缝封堵方式、封堵材料性能、灌浆</w:t>
      </w:r>
      <w:proofErr w:type="gramStart"/>
      <w:r w:rsidRPr="00371BF9">
        <w:rPr>
          <w:rFonts w:ascii="楷体" w:eastAsia="楷体" w:hAnsi="楷体"/>
          <w:sz w:val="28"/>
          <w:szCs w:val="28"/>
        </w:rPr>
        <w:t>腔</w:t>
      </w:r>
      <w:proofErr w:type="gramEnd"/>
      <w:r w:rsidRPr="00371BF9">
        <w:rPr>
          <w:rFonts w:ascii="楷体" w:eastAsia="楷体" w:hAnsi="楷体"/>
          <w:sz w:val="28"/>
          <w:szCs w:val="28"/>
        </w:rPr>
        <w:t>连通等情况。</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Fonts w:ascii="楷体" w:eastAsia="楷体" w:hAnsi="楷体"/>
          <w:sz w:val="28"/>
          <w:szCs w:val="28"/>
        </w:rPr>
        <w:t>检查符合设计及规范要求的，由施工单位项目负责人和总监理工程师签发灌浆令，方可进行灌浆作业。</w:t>
      </w:r>
      <w:r w:rsidRPr="00371BF9">
        <w:rPr>
          <w:rFonts w:ascii="楷体" w:eastAsia="楷体" w:hAnsi="楷体"/>
          <w:sz w:val="28"/>
          <w:szCs w:val="28"/>
        </w:rPr>
        <w:br/>
        <w:t>每个灌浆班组每天灌浆施工前应签发一份灌浆令。</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影像资料</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Fonts w:ascii="楷体" w:eastAsia="楷体" w:hAnsi="楷体"/>
          <w:sz w:val="28"/>
          <w:szCs w:val="28"/>
        </w:rPr>
        <w:t>灌浆操作全过程应由施工专职质检人员及监理人员负责现场监督，留存灌浆施工检查记录及影像资料。</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Fonts w:ascii="楷体" w:eastAsia="楷体" w:hAnsi="楷体"/>
          <w:sz w:val="28"/>
          <w:szCs w:val="28"/>
        </w:rPr>
        <w:t>影像资料应包括灌浆作业人员、施工专职质检人员及监理人员同时在场记录、灌浆部位、预制构件编号、套筒顺序编号、灌浆出</w:t>
      </w:r>
      <w:proofErr w:type="gramStart"/>
      <w:r w:rsidRPr="00371BF9">
        <w:rPr>
          <w:rFonts w:ascii="楷体" w:eastAsia="楷体" w:hAnsi="楷体"/>
          <w:sz w:val="28"/>
          <w:szCs w:val="28"/>
        </w:rPr>
        <w:t>浆完成</w:t>
      </w:r>
      <w:proofErr w:type="gramEnd"/>
      <w:r w:rsidRPr="00371BF9">
        <w:rPr>
          <w:rFonts w:ascii="楷体" w:eastAsia="楷体" w:hAnsi="楷体"/>
          <w:sz w:val="28"/>
          <w:szCs w:val="28"/>
        </w:rPr>
        <w:t>情况等。</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检查记录</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Fonts w:ascii="楷体" w:eastAsia="楷体" w:hAnsi="楷体"/>
          <w:sz w:val="28"/>
          <w:szCs w:val="28"/>
        </w:rPr>
        <w:t>灌浆施工检查记录应经灌浆作业人员、施工专职质检人员及监理人员共同签字确认。</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Style w:val="a6"/>
          <w:rFonts w:ascii="楷体" w:eastAsia="楷体" w:hAnsi="楷体"/>
          <w:sz w:val="28"/>
          <w:szCs w:val="28"/>
        </w:rPr>
        <w:t>施工环境</w:t>
      </w:r>
    </w:p>
    <w:p w:rsidR="00371BF9" w:rsidRPr="00371BF9" w:rsidRDefault="00371BF9" w:rsidP="00371BF9">
      <w:pPr>
        <w:pStyle w:val="a5"/>
        <w:spacing w:before="0" w:beforeAutospacing="0" w:after="0" w:afterAutospacing="0"/>
        <w:rPr>
          <w:rFonts w:ascii="楷体" w:eastAsia="楷体" w:hAnsi="楷体"/>
          <w:sz w:val="28"/>
          <w:szCs w:val="28"/>
        </w:rPr>
      </w:pPr>
      <w:r w:rsidRPr="00371BF9">
        <w:rPr>
          <w:rFonts w:ascii="楷体" w:eastAsia="楷体" w:hAnsi="楷体"/>
          <w:sz w:val="28"/>
          <w:szCs w:val="28"/>
        </w:rPr>
        <w:lastRenderedPageBreak/>
        <w:t>灌浆施工环境温度低于5℃时，应采取升温措施，未达到5℃的，不得施工。</w:t>
      </w:r>
    </w:p>
    <w:p w:rsidR="00371BF9" w:rsidRPr="00371BF9" w:rsidRDefault="00371BF9" w:rsidP="00371BF9">
      <w:pPr>
        <w:widowControl/>
        <w:shd w:val="clear" w:color="auto" w:fill="FFFFFF"/>
        <w:wordWrap w:val="0"/>
        <w:spacing w:line="300" w:lineRule="atLeast"/>
        <w:jc w:val="left"/>
        <w:rPr>
          <w:rFonts w:ascii="楷体" w:eastAsia="楷体" w:hAnsi="楷体" w:cs="宋体" w:hint="eastAsia"/>
          <w:color w:val="333333"/>
          <w:spacing w:val="8"/>
          <w:kern w:val="0"/>
          <w:sz w:val="28"/>
          <w:szCs w:val="28"/>
        </w:rPr>
      </w:pPr>
    </w:p>
    <w:p w:rsidR="00A3185E" w:rsidRPr="00371BF9" w:rsidRDefault="00A3185E">
      <w:pPr>
        <w:rPr>
          <w:rFonts w:ascii="楷体" w:eastAsia="楷体" w:hAnsi="楷体"/>
          <w:sz w:val="28"/>
          <w:szCs w:val="28"/>
        </w:rPr>
      </w:pPr>
    </w:p>
    <w:sectPr w:rsidR="00A3185E" w:rsidRPr="00371B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00D"/>
    <w:rsid w:val="00007436"/>
    <w:rsid w:val="0003000D"/>
    <w:rsid w:val="000B2391"/>
    <w:rsid w:val="000B7207"/>
    <w:rsid w:val="000E29B5"/>
    <w:rsid w:val="000F73B0"/>
    <w:rsid w:val="0014466C"/>
    <w:rsid w:val="00183A63"/>
    <w:rsid w:val="001C060E"/>
    <w:rsid w:val="001F0CD4"/>
    <w:rsid w:val="001F7AC9"/>
    <w:rsid w:val="002529CE"/>
    <w:rsid w:val="0029372C"/>
    <w:rsid w:val="002E6EEB"/>
    <w:rsid w:val="00371BF9"/>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15772-0E40-486D-A23B-A0BB5CF1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71BF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71BF9"/>
    <w:rPr>
      <w:rFonts w:ascii="宋体" w:eastAsia="宋体" w:hAnsi="宋体" w:cs="宋体"/>
      <w:b/>
      <w:bCs/>
      <w:kern w:val="0"/>
      <w:sz w:val="36"/>
      <w:szCs w:val="36"/>
    </w:rPr>
  </w:style>
  <w:style w:type="character" w:customStyle="1" w:styleId="richmediameta">
    <w:name w:val="rich_media_meta"/>
    <w:basedOn w:val="a0"/>
    <w:rsid w:val="00371BF9"/>
  </w:style>
  <w:style w:type="character" w:styleId="a3">
    <w:name w:val="Hyperlink"/>
    <w:basedOn w:val="a0"/>
    <w:uiPriority w:val="99"/>
    <w:unhideWhenUsed/>
    <w:rsid w:val="00371BF9"/>
    <w:rPr>
      <w:color w:val="0000FF"/>
      <w:u w:val="single"/>
    </w:rPr>
  </w:style>
  <w:style w:type="character" w:styleId="a4">
    <w:name w:val="Emphasis"/>
    <w:basedOn w:val="a0"/>
    <w:uiPriority w:val="20"/>
    <w:qFormat/>
    <w:rsid w:val="00371BF9"/>
    <w:rPr>
      <w:i/>
      <w:iCs/>
    </w:rPr>
  </w:style>
  <w:style w:type="paragraph" w:styleId="a5">
    <w:name w:val="Normal (Web)"/>
    <w:basedOn w:val="a"/>
    <w:uiPriority w:val="99"/>
    <w:semiHidden/>
    <w:unhideWhenUsed/>
    <w:rsid w:val="00371BF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71B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787786">
      <w:bodyDiv w:val="1"/>
      <w:marLeft w:val="0"/>
      <w:marRight w:val="0"/>
      <w:marTop w:val="0"/>
      <w:marBottom w:val="0"/>
      <w:divBdr>
        <w:top w:val="none" w:sz="0" w:space="0" w:color="auto"/>
        <w:left w:val="none" w:sz="0" w:space="0" w:color="auto"/>
        <w:bottom w:val="none" w:sz="0" w:space="0" w:color="auto"/>
        <w:right w:val="none" w:sz="0" w:space="0" w:color="auto"/>
      </w:divBdr>
      <w:divsChild>
        <w:div w:id="1568034824">
          <w:marLeft w:val="0"/>
          <w:marRight w:val="0"/>
          <w:marTop w:val="0"/>
          <w:marBottom w:val="330"/>
          <w:divBdr>
            <w:top w:val="none" w:sz="0" w:space="0" w:color="auto"/>
            <w:left w:val="none" w:sz="0" w:space="0" w:color="auto"/>
            <w:bottom w:val="none" w:sz="0" w:space="0" w:color="auto"/>
            <w:right w:val="none" w:sz="0" w:space="0" w:color="auto"/>
          </w:divBdr>
        </w:div>
      </w:divsChild>
    </w:div>
    <w:div w:id="2057001754">
      <w:bodyDiv w:val="1"/>
      <w:marLeft w:val="0"/>
      <w:marRight w:val="0"/>
      <w:marTop w:val="0"/>
      <w:marBottom w:val="0"/>
      <w:divBdr>
        <w:top w:val="none" w:sz="0" w:space="0" w:color="auto"/>
        <w:left w:val="none" w:sz="0" w:space="0" w:color="auto"/>
        <w:bottom w:val="none" w:sz="0" w:space="0" w:color="auto"/>
        <w:right w:val="none" w:sz="0" w:space="0" w:color="auto"/>
      </w:divBdr>
    </w:div>
    <w:div w:id="206760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p.weixin.qq.com/s/AZ1Jp5dunO6NsZpeRWqqeg" TargetMode="Externa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288</Words>
  <Characters>1647</Characters>
  <Application>Microsoft Office Word</Application>
  <DocSecurity>0</DocSecurity>
  <Lines>13</Lines>
  <Paragraphs>3</Paragraphs>
  <ScaleCrop>false</ScaleCrop>
  <Company>P R C</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2019-03-22T06:49:00Z</dcterms:created>
  <dcterms:modified xsi:type="dcterms:W3CDTF">2019-03-22T06:51:00Z</dcterms:modified>
</cp:coreProperties>
</file>