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3229" w:rsidRPr="00FB3229" w:rsidRDefault="00FB3229" w:rsidP="00FB3229">
      <w:pPr>
        <w:pStyle w:val="2"/>
      </w:pPr>
      <w:r w:rsidRPr="00FB3229">
        <w:rPr>
          <w:rFonts w:hint="eastAsia"/>
        </w:rPr>
        <w:t>【筑脸头条】财政部发布PPP模式规范性文件，或将影响20</w:t>
      </w:r>
      <w:proofErr w:type="gramStart"/>
      <w:r w:rsidRPr="00FB3229">
        <w:rPr>
          <w:rFonts w:hint="eastAsia"/>
        </w:rPr>
        <w:t>万亿</w:t>
      </w:r>
      <w:proofErr w:type="gramEnd"/>
      <w:r w:rsidRPr="00FB3229">
        <w:rPr>
          <w:rFonts w:hint="eastAsia"/>
        </w:rPr>
        <w:t>PPP项目</w:t>
      </w:r>
    </w:p>
    <w:p w:rsidR="00FB3229" w:rsidRPr="00FB3229" w:rsidRDefault="00FB3229" w:rsidP="00FB3229">
      <w:pPr>
        <w:widowControl/>
        <w:shd w:val="clear" w:color="auto" w:fill="FFFFFF"/>
        <w:wordWrap w:val="0"/>
        <w:spacing w:line="300" w:lineRule="atLeast"/>
        <w:jc w:val="left"/>
        <w:rPr>
          <w:rFonts w:ascii="楷体" w:eastAsia="楷体" w:hAnsi="楷体" w:cs="宋体"/>
          <w:color w:val="000000" w:themeColor="text1"/>
          <w:spacing w:val="8"/>
          <w:kern w:val="0"/>
          <w:szCs w:val="21"/>
        </w:rPr>
      </w:pPr>
      <w:r w:rsidRPr="00FB3229">
        <w:rPr>
          <w:rFonts w:ascii="楷体" w:eastAsia="楷体" w:hAnsi="楷体" w:cs="宋体" w:hint="eastAsia"/>
          <w:color w:val="000000" w:themeColor="text1"/>
          <w:spacing w:val="8"/>
          <w:kern w:val="0"/>
          <w:szCs w:val="21"/>
        </w:rPr>
        <w:t>来源:</w:t>
      </w:r>
      <w:hyperlink r:id="rId4" w:history="1">
        <w:proofErr w:type="gramStart"/>
        <w:r w:rsidRPr="00FB3229">
          <w:rPr>
            <w:rFonts w:ascii="楷体" w:eastAsia="楷体" w:hAnsi="楷体" w:cs="宋体" w:hint="eastAsia"/>
            <w:color w:val="000000" w:themeColor="text1"/>
            <w:spacing w:val="8"/>
            <w:kern w:val="0"/>
            <w:szCs w:val="21"/>
          </w:rPr>
          <w:t>筑脸</w:t>
        </w:r>
        <w:proofErr w:type="gramEnd"/>
      </w:hyperlink>
      <w:r w:rsidRPr="00FB3229">
        <w:rPr>
          <w:rFonts w:ascii="楷体" w:eastAsia="楷体" w:hAnsi="楷体" w:cs="宋体" w:hint="eastAsia"/>
          <w:color w:val="000000" w:themeColor="text1"/>
          <w:spacing w:val="8"/>
          <w:kern w:val="0"/>
          <w:szCs w:val="21"/>
        </w:rPr>
        <w:t xml:space="preserve">  </w:t>
      </w:r>
      <w:r w:rsidRPr="00FB3229">
        <w:rPr>
          <w:rFonts w:ascii="Calibri" w:eastAsia="楷体" w:hAnsi="Calibri" w:cs="Calibri"/>
          <w:color w:val="000000" w:themeColor="text1"/>
          <w:spacing w:val="8"/>
          <w:kern w:val="0"/>
          <w:szCs w:val="21"/>
        </w:rPr>
        <w:t> </w:t>
      </w:r>
      <w:r w:rsidRPr="00FB3229">
        <w:rPr>
          <w:rFonts w:ascii="楷体" w:eastAsia="楷体" w:hAnsi="楷体" w:cs="宋体" w:hint="eastAsia"/>
          <w:color w:val="000000" w:themeColor="text1"/>
          <w:spacing w:val="8"/>
          <w:kern w:val="0"/>
          <w:szCs w:val="21"/>
        </w:rPr>
        <w:t>2019-03-13</w:t>
      </w:r>
    </w:p>
    <w:p w:rsidR="00FB3229" w:rsidRPr="00FB3229" w:rsidRDefault="00FB3229" w:rsidP="00FB3229">
      <w:pPr>
        <w:widowControl/>
        <w:shd w:val="clear" w:color="auto" w:fill="FFFFFF"/>
        <w:wordWrap w:val="0"/>
        <w:spacing w:line="300" w:lineRule="atLeast"/>
        <w:jc w:val="left"/>
        <w:rPr>
          <w:rFonts w:ascii="楷体" w:eastAsia="楷体" w:hAnsi="楷体" w:cs="宋体"/>
          <w:color w:val="000000" w:themeColor="text1"/>
          <w:spacing w:val="8"/>
          <w:kern w:val="0"/>
          <w:szCs w:val="21"/>
        </w:rPr>
      </w:pPr>
      <w:r w:rsidRPr="00FB3229">
        <w:rPr>
          <w:rFonts w:ascii="楷体" w:eastAsia="楷体" w:hAnsi="楷体" w:cs="宋体" w:hint="eastAsia"/>
          <w:color w:val="000000" w:themeColor="text1"/>
          <w:spacing w:val="8"/>
          <w:kern w:val="0"/>
          <w:szCs w:val="21"/>
        </w:rPr>
        <w:t>链接:</w:t>
      </w:r>
      <w:r w:rsidRPr="00FB3229">
        <w:rPr>
          <w:rFonts w:ascii="楷体" w:eastAsia="楷体" w:hAnsi="楷体"/>
          <w:color w:val="000000" w:themeColor="text1"/>
          <w:szCs w:val="21"/>
        </w:rPr>
        <w:t xml:space="preserve"> </w:t>
      </w:r>
      <w:hyperlink r:id="rId5" w:history="1">
        <w:r w:rsidRPr="00FB3229">
          <w:rPr>
            <w:rStyle w:val="a3"/>
            <w:rFonts w:ascii="楷体" w:eastAsia="楷体" w:hAnsi="楷体" w:cs="宋体"/>
            <w:color w:val="000000" w:themeColor="text1"/>
            <w:spacing w:val="8"/>
            <w:kern w:val="0"/>
            <w:szCs w:val="21"/>
          </w:rPr>
          <w:t>https://mp.weixin.qq.com/s/-D6J_EURe_1Sq3NxMycJdg</w:t>
        </w:r>
      </w:hyperlink>
    </w:p>
    <w:p w:rsidR="00FB3229" w:rsidRPr="00FB3229" w:rsidRDefault="00FB3229" w:rsidP="00FB3229">
      <w:pPr>
        <w:pStyle w:val="a5"/>
        <w:spacing w:before="0" w:beforeAutospacing="0" w:after="0" w:afterAutospacing="0" w:line="420" w:lineRule="atLeast"/>
        <w:rPr>
          <w:rFonts w:ascii="楷体" w:eastAsia="楷体" w:hAnsi="楷体" w:hint="eastAsia"/>
          <w:color w:val="000000" w:themeColor="text1"/>
          <w:sz w:val="28"/>
          <w:szCs w:val="28"/>
        </w:rPr>
      </w:pPr>
      <w:r w:rsidRPr="00FB3229">
        <w:rPr>
          <w:rFonts w:ascii="楷体" w:eastAsia="楷体" w:hAnsi="楷体"/>
          <w:color w:val="000000" w:themeColor="text1"/>
          <w:sz w:val="28"/>
          <w:szCs w:val="28"/>
        </w:rPr>
        <w:t>业内期盼已久的政府和社会资本合作（PPP）模式规范性文件终于出台，将直接或间接影响20多万亿PPP投资项目。</w:t>
      </w:r>
    </w:p>
    <w:p w:rsidR="00FB3229" w:rsidRPr="00FB3229" w:rsidRDefault="00FB3229" w:rsidP="00FB3229">
      <w:pPr>
        <w:pStyle w:val="a5"/>
        <w:spacing w:before="0" w:beforeAutospacing="0" w:after="0" w:afterAutospacing="0" w:line="420" w:lineRule="atLeast"/>
        <w:rPr>
          <w:rFonts w:ascii="楷体" w:eastAsia="楷体" w:hAnsi="楷体" w:hint="eastAsia"/>
          <w:color w:val="000000" w:themeColor="text1"/>
          <w:sz w:val="28"/>
          <w:szCs w:val="28"/>
        </w:rPr>
      </w:pPr>
      <w:r w:rsidRPr="00FB3229">
        <w:rPr>
          <w:rFonts w:ascii="楷体" w:eastAsia="楷体" w:hAnsi="楷体"/>
          <w:color w:val="000000" w:themeColor="text1"/>
          <w:sz w:val="28"/>
          <w:szCs w:val="28"/>
        </w:rPr>
        <w:t>3月8日，财政部公布了《关于推进政府和社会资本合作规范发展的实施意见》（下称《意见》），首次明确了规范的PPP项目六大条件。</w:t>
      </w:r>
      <w:bookmarkStart w:id="0" w:name="_GoBack"/>
      <w:bookmarkEnd w:id="0"/>
    </w:p>
    <w:p w:rsidR="00FB3229" w:rsidRPr="00FB3229" w:rsidRDefault="00FB3229" w:rsidP="00FB3229">
      <w:pPr>
        <w:pStyle w:val="a5"/>
        <w:spacing w:before="0" w:beforeAutospacing="0" w:after="0" w:afterAutospacing="0"/>
        <w:rPr>
          <w:rFonts w:ascii="楷体" w:eastAsia="楷体" w:hAnsi="楷体"/>
          <w:color w:val="000000" w:themeColor="text1"/>
          <w:sz w:val="28"/>
          <w:szCs w:val="28"/>
        </w:rPr>
      </w:pPr>
      <w:r w:rsidRPr="00FB3229">
        <w:rPr>
          <w:rFonts w:ascii="楷体" w:eastAsia="楷体" w:hAnsi="楷体"/>
          <w:color w:val="000000" w:themeColor="text1"/>
          <w:sz w:val="28"/>
          <w:szCs w:val="28"/>
        </w:rPr>
        <w:t>1.属于公共服务领域的公益性项目，合作期限原则上在10年以上，按规定履行物有所值评价、财政承受能力论证程序；</w:t>
      </w:r>
    </w:p>
    <w:p w:rsidR="00FB3229" w:rsidRPr="00FB3229" w:rsidRDefault="00FB3229" w:rsidP="00FB3229">
      <w:pPr>
        <w:pStyle w:val="a5"/>
        <w:spacing w:before="0" w:beforeAutospacing="0" w:after="0" w:afterAutospacing="0"/>
        <w:rPr>
          <w:rFonts w:ascii="楷体" w:eastAsia="楷体" w:hAnsi="楷体"/>
          <w:color w:val="000000" w:themeColor="text1"/>
          <w:sz w:val="28"/>
          <w:szCs w:val="28"/>
        </w:rPr>
      </w:pPr>
      <w:r w:rsidRPr="00FB3229">
        <w:rPr>
          <w:rFonts w:ascii="楷体" w:eastAsia="楷体" w:hAnsi="楷体"/>
          <w:color w:val="000000" w:themeColor="text1"/>
          <w:sz w:val="28"/>
          <w:szCs w:val="28"/>
        </w:rPr>
        <w:t>2.社会资本负责项目投资、建设、运营并承担相应风险，政府承担政策、法律等风险；</w:t>
      </w:r>
    </w:p>
    <w:p w:rsidR="00FB3229" w:rsidRPr="00FB3229" w:rsidRDefault="00FB3229" w:rsidP="00FB3229">
      <w:pPr>
        <w:pStyle w:val="a5"/>
        <w:spacing w:before="0" w:beforeAutospacing="0" w:after="0" w:afterAutospacing="0"/>
        <w:rPr>
          <w:rFonts w:ascii="楷体" w:eastAsia="楷体" w:hAnsi="楷体"/>
          <w:color w:val="000000" w:themeColor="text1"/>
          <w:sz w:val="28"/>
          <w:szCs w:val="28"/>
        </w:rPr>
      </w:pPr>
      <w:r w:rsidRPr="00FB3229">
        <w:rPr>
          <w:rFonts w:ascii="楷体" w:eastAsia="楷体" w:hAnsi="楷体"/>
          <w:color w:val="000000" w:themeColor="text1"/>
          <w:sz w:val="28"/>
          <w:szCs w:val="28"/>
        </w:rPr>
        <w:t>3. 建立完全与项目产出绩效相挂钩的付费机制，不得通过降低考核标准等方式，提前锁定、固化政府支出责任；</w:t>
      </w:r>
    </w:p>
    <w:p w:rsidR="00FB3229" w:rsidRPr="00FB3229" w:rsidRDefault="00FB3229" w:rsidP="00FB3229">
      <w:pPr>
        <w:pStyle w:val="a5"/>
        <w:spacing w:before="0" w:beforeAutospacing="0" w:after="0" w:afterAutospacing="0"/>
        <w:rPr>
          <w:rFonts w:ascii="楷体" w:eastAsia="楷体" w:hAnsi="楷体"/>
          <w:color w:val="000000" w:themeColor="text1"/>
          <w:sz w:val="28"/>
          <w:szCs w:val="28"/>
        </w:rPr>
      </w:pPr>
      <w:r w:rsidRPr="00FB3229">
        <w:rPr>
          <w:rFonts w:ascii="楷体" w:eastAsia="楷体" w:hAnsi="楷体"/>
          <w:color w:val="000000" w:themeColor="text1"/>
          <w:sz w:val="28"/>
          <w:szCs w:val="28"/>
        </w:rPr>
        <w:t>4. 项目资本金符合国家规定比例，项目公司股东以自有资金按时足额缴纳资本金；</w:t>
      </w:r>
    </w:p>
    <w:p w:rsidR="00FB3229" w:rsidRPr="00FB3229" w:rsidRDefault="00FB3229" w:rsidP="00FB3229">
      <w:pPr>
        <w:pStyle w:val="a5"/>
        <w:spacing w:before="0" w:beforeAutospacing="0" w:after="0" w:afterAutospacing="0"/>
        <w:rPr>
          <w:rFonts w:ascii="楷体" w:eastAsia="楷体" w:hAnsi="楷体"/>
          <w:color w:val="000000" w:themeColor="text1"/>
          <w:sz w:val="28"/>
          <w:szCs w:val="28"/>
        </w:rPr>
      </w:pPr>
      <w:r w:rsidRPr="00FB3229">
        <w:rPr>
          <w:rFonts w:ascii="楷体" w:eastAsia="楷体" w:hAnsi="楷体"/>
          <w:color w:val="000000" w:themeColor="text1"/>
          <w:sz w:val="28"/>
          <w:szCs w:val="28"/>
        </w:rPr>
        <w:t>5. 政府方签约主体应为县级及县级以上人民政府或其授权的机关或事业单位；</w:t>
      </w:r>
    </w:p>
    <w:p w:rsidR="00FB3229" w:rsidRPr="00FB3229" w:rsidRDefault="00FB3229" w:rsidP="00FB3229">
      <w:pPr>
        <w:pStyle w:val="a5"/>
        <w:spacing w:before="0" w:beforeAutospacing="0" w:after="0" w:afterAutospacing="0"/>
        <w:rPr>
          <w:rFonts w:ascii="楷体" w:eastAsia="楷体" w:hAnsi="楷体"/>
          <w:color w:val="000000" w:themeColor="text1"/>
          <w:sz w:val="28"/>
          <w:szCs w:val="28"/>
        </w:rPr>
      </w:pPr>
      <w:r w:rsidRPr="00FB3229">
        <w:rPr>
          <w:rFonts w:ascii="楷体" w:eastAsia="楷体" w:hAnsi="楷体"/>
          <w:color w:val="000000" w:themeColor="text1"/>
          <w:sz w:val="28"/>
          <w:szCs w:val="28"/>
        </w:rPr>
        <w:t>6. 按规定纳入全国PPP综合信息平台项目库，及时充分披露项目信息，主动接受社会监督。</w:t>
      </w:r>
    </w:p>
    <w:p w:rsidR="00FB3229" w:rsidRPr="00FB3229" w:rsidRDefault="00FB3229" w:rsidP="00FB3229">
      <w:pPr>
        <w:pStyle w:val="a5"/>
        <w:shd w:val="clear" w:color="auto" w:fill="FFFFFF"/>
        <w:spacing w:before="0" w:beforeAutospacing="0" w:after="0" w:afterAutospacing="0" w:line="420" w:lineRule="atLeast"/>
        <w:jc w:val="both"/>
        <w:rPr>
          <w:rFonts w:ascii="楷体" w:eastAsia="楷体" w:hAnsi="楷体" w:hint="eastAsia"/>
          <w:color w:val="000000" w:themeColor="text1"/>
          <w:spacing w:val="8"/>
          <w:sz w:val="28"/>
          <w:szCs w:val="28"/>
        </w:rPr>
      </w:pPr>
      <w:r w:rsidRPr="00FB3229">
        <w:rPr>
          <w:rFonts w:ascii="楷体" w:eastAsia="楷体" w:hAnsi="楷体" w:hint="eastAsia"/>
          <w:color w:val="000000" w:themeColor="text1"/>
          <w:spacing w:val="8"/>
          <w:sz w:val="28"/>
          <w:szCs w:val="28"/>
        </w:rPr>
        <w:lastRenderedPageBreak/>
        <w:t>从PPP项目付费模式来看，主要分为使用者付费、可行性缺口补助和政府付费。 为了防止政府支出责任过多、</w:t>
      </w:r>
      <w:proofErr w:type="gramStart"/>
      <w:r w:rsidRPr="00FB3229">
        <w:rPr>
          <w:rFonts w:ascii="楷体" w:eastAsia="楷体" w:hAnsi="楷体" w:hint="eastAsia"/>
          <w:color w:val="000000" w:themeColor="text1"/>
          <w:spacing w:val="8"/>
          <w:sz w:val="28"/>
          <w:szCs w:val="28"/>
        </w:rPr>
        <w:t>过重加大</w:t>
      </w:r>
      <w:proofErr w:type="gramEnd"/>
      <w:r w:rsidRPr="00FB3229">
        <w:rPr>
          <w:rFonts w:ascii="楷体" w:eastAsia="楷体" w:hAnsi="楷体" w:hint="eastAsia"/>
          <w:color w:val="000000" w:themeColor="text1"/>
          <w:spacing w:val="8"/>
          <w:sz w:val="28"/>
          <w:szCs w:val="28"/>
        </w:rPr>
        <w:t>财政支出压力，近些年政府付费模式PPP项目受到严控。</w:t>
      </w:r>
    </w:p>
    <w:p w:rsidR="00FB3229" w:rsidRPr="00FB3229" w:rsidRDefault="00FB3229" w:rsidP="00FB3229">
      <w:pPr>
        <w:pStyle w:val="a5"/>
        <w:shd w:val="clear" w:color="auto" w:fill="FFFFFF"/>
        <w:spacing w:before="0" w:beforeAutospacing="0" w:after="0" w:afterAutospacing="0" w:line="420" w:lineRule="atLeast"/>
        <w:jc w:val="both"/>
        <w:rPr>
          <w:rFonts w:ascii="楷体" w:eastAsia="楷体" w:hAnsi="楷体" w:hint="eastAsia"/>
          <w:color w:val="000000" w:themeColor="text1"/>
          <w:spacing w:val="8"/>
          <w:sz w:val="28"/>
          <w:szCs w:val="28"/>
        </w:rPr>
      </w:pPr>
      <w:r w:rsidRPr="00FB3229">
        <w:rPr>
          <w:rFonts w:ascii="楷体" w:eastAsia="楷体" w:hAnsi="楷体" w:hint="eastAsia"/>
          <w:color w:val="000000" w:themeColor="text1"/>
          <w:spacing w:val="8"/>
          <w:sz w:val="28"/>
          <w:szCs w:val="28"/>
        </w:rPr>
        <w:t>此次《意见》首次明确，在符合前述六大条件基础上，新上政府付费项目原则上还应符合以下审慎要求：</w:t>
      </w:r>
    </w:p>
    <w:p w:rsidR="00FB3229" w:rsidRPr="00FB3229" w:rsidRDefault="00FB3229" w:rsidP="00FB3229">
      <w:pPr>
        <w:pStyle w:val="a5"/>
        <w:spacing w:before="0" w:beforeAutospacing="0" w:after="0" w:afterAutospacing="0" w:line="420" w:lineRule="atLeast"/>
        <w:rPr>
          <w:rFonts w:ascii="楷体" w:eastAsia="楷体" w:hAnsi="楷体" w:hint="eastAsia"/>
          <w:color w:val="000000" w:themeColor="text1"/>
          <w:sz w:val="28"/>
          <w:szCs w:val="28"/>
        </w:rPr>
      </w:pPr>
      <w:r w:rsidRPr="00FB3229">
        <w:rPr>
          <w:rFonts w:ascii="楷体" w:eastAsia="楷体" w:hAnsi="楷体"/>
          <w:color w:val="000000" w:themeColor="text1"/>
          <w:sz w:val="28"/>
          <w:szCs w:val="28"/>
        </w:rPr>
        <w:t>1. 财政支出责任占比超过5%的地区，不得新上政府付费项目。</w:t>
      </w:r>
      <w:r w:rsidRPr="00FB3229">
        <w:rPr>
          <w:rFonts w:ascii="Calibri" w:eastAsia="楷体" w:hAnsi="Calibri" w:cs="Calibri"/>
          <w:color w:val="000000" w:themeColor="text1"/>
          <w:sz w:val="28"/>
          <w:szCs w:val="28"/>
        </w:rPr>
        <w:t> </w:t>
      </w:r>
      <w:r w:rsidRPr="00FB3229">
        <w:rPr>
          <w:rFonts w:ascii="楷体" w:eastAsia="楷体" w:hAnsi="楷体"/>
          <w:color w:val="000000" w:themeColor="text1"/>
          <w:sz w:val="28"/>
          <w:szCs w:val="28"/>
        </w:rPr>
        <w:t>按照“实质重于形式”原则，污水、垃圾处理等依照收支两条线管理、表现为政府付费形式的PPP项目除外；</w:t>
      </w:r>
    </w:p>
    <w:p w:rsidR="00FB3229" w:rsidRPr="00FB3229" w:rsidRDefault="00FB3229" w:rsidP="00FB3229">
      <w:pPr>
        <w:pStyle w:val="a5"/>
        <w:spacing w:before="0" w:beforeAutospacing="0" w:after="0" w:afterAutospacing="0" w:line="420" w:lineRule="atLeast"/>
        <w:rPr>
          <w:rFonts w:ascii="楷体" w:eastAsia="楷体" w:hAnsi="楷体"/>
          <w:color w:val="000000" w:themeColor="text1"/>
          <w:sz w:val="28"/>
          <w:szCs w:val="28"/>
        </w:rPr>
      </w:pPr>
      <w:r w:rsidRPr="00FB3229">
        <w:rPr>
          <w:rFonts w:ascii="楷体" w:eastAsia="楷体" w:hAnsi="楷体"/>
          <w:color w:val="000000" w:themeColor="text1"/>
          <w:sz w:val="28"/>
          <w:szCs w:val="28"/>
        </w:rPr>
        <w:t>2. 采用公开招标、邀请招标、竞争性磋商、竞争性谈判等竞争性方式选择社会资本方；</w:t>
      </w:r>
    </w:p>
    <w:p w:rsidR="00FB3229" w:rsidRPr="00FB3229" w:rsidRDefault="00FB3229" w:rsidP="00FB3229">
      <w:pPr>
        <w:pStyle w:val="a5"/>
        <w:spacing w:before="0" w:beforeAutospacing="0" w:after="0" w:afterAutospacing="0" w:line="420" w:lineRule="atLeast"/>
        <w:rPr>
          <w:rFonts w:ascii="楷体" w:eastAsia="楷体" w:hAnsi="楷体"/>
          <w:color w:val="000000" w:themeColor="text1"/>
          <w:sz w:val="28"/>
          <w:szCs w:val="28"/>
        </w:rPr>
      </w:pPr>
      <w:r w:rsidRPr="00FB3229">
        <w:rPr>
          <w:rFonts w:ascii="楷体" w:eastAsia="楷体" w:hAnsi="楷体"/>
          <w:color w:val="000000" w:themeColor="text1"/>
          <w:sz w:val="28"/>
          <w:szCs w:val="28"/>
        </w:rPr>
        <w:t>3. 严格控制项目投资、建设、运营成本，加强跟踪审计。</w:t>
      </w:r>
    </w:p>
    <w:p w:rsidR="00FB3229" w:rsidRPr="00FB3229" w:rsidRDefault="00FB3229" w:rsidP="00FB3229">
      <w:pPr>
        <w:pStyle w:val="a5"/>
        <w:shd w:val="clear" w:color="auto" w:fill="FFFFFF"/>
        <w:spacing w:before="0" w:beforeAutospacing="0" w:after="0" w:afterAutospacing="0" w:line="420" w:lineRule="atLeast"/>
        <w:jc w:val="both"/>
        <w:rPr>
          <w:rFonts w:ascii="楷体" w:eastAsia="楷体" w:hAnsi="楷体" w:hint="eastAsia"/>
          <w:color w:val="000000" w:themeColor="text1"/>
          <w:spacing w:val="8"/>
          <w:sz w:val="28"/>
          <w:szCs w:val="28"/>
        </w:rPr>
      </w:pPr>
      <w:r w:rsidRPr="00FB3229">
        <w:rPr>
          <w:rFonts w:ascii="楷体" w:eastAsia="楷体" w:hAnsi="楷体" w:hint="eastAsia"/>
          <w:color w:val="000000" w:themeColor="text1"/>
          <w:spacing w:val="8"/>
          <w:sz w:val="28"/>
          <w:szCs w:val="28"/>
        </w:rPr>
        <w:t>财政部称，对于规避上述限制条件，将新上政府付费项目打捆、包装为少量使用者付费项目，项目内容无实质关联、使用者付费比例低于10%的，不予入库。</w:t>
      </w:r>
    </w:p>
    <w:p w:rsidR="00FB3229" w:rsidRDefault="00FB3229" w:rsidP="00FB3229">
      <w:pPr>
        <w:pStyle w:val="a5"/>
        <w:shd w:val="clear" w:color="auto" w:fill="FFFFFF"/>
        <w:spacing w:before="0" w:beforeAutospacing="0" w:after="0" w:afterAutospacing="0" w:line="420" w:lineRule="atLeast"/>
        <w:jc w:val="both"/>
        <w:rPr>
          <w:rFonts w:ascii="楷体" w:eastAsia="楷体" w:hAnsi="楷体"/>
          <w:color w:val="000000" w:themeColor="text1"/>
          <w:spacing w:val="8"/>
          <w:sz w:val="28"/>
          <w:szCs w:val="28"/>
        </w:rPr>
      </w:pPr>
      <w:r w:rsidRPr="00FB3229">
        <w:rPr>
          <w:rFonts w:ascii="楷体" w:eastAsia="楷体" w:hAnsi="楷体" w:hint="eastAsia"/>
          <w:color w:val="000000" w:themeColor="text1"/>
          <w:spacing w:val="8"/>
          <w:sz w:val="28"/>
          <w:szCs w:val="28"/>
        </w:rPr>
        <w:t>此外，为防控财政风险，《意见》重申了坚持PPP项目支出10%红线，</w:t>
      </w:r>
      <w:r w:rsidRPr="00FB3229">
        <w:rPr>
          <w:rStyle w:val="a6"/>
          <w:rFonts w:ascii="楷体" w:eastAsia="楷体" w:hAnsi="楷体" w:hint="eastAsia"/>
          <w:color w:val="000000" w:themeColor="text1"/>
          <w:spacing w:val="8"/>
          <w:sz w:val="28"/>
          <w:szCs w:val="28"/>
        </w:rPr>
        <w:t>即确保每一年度本级全部PPP项目从一般公共预算列支的财政支出责任，不超过当年本级一般公共预算支出的10%。</w:t>
      </w:r>
      <w:r w:rsidRPr="00FB3229">
        <w:rPr>
          <w:rStyle w:val="a6"/>
          <w:rFonts w:ascii="Calibri" w:eastAsia="楷体" w:hAnsi="Calibri" w:cs="Calibri"/>
          <w:color w:val="000000" w:themeColor="text1"/>
          <w:spacing w:val="8"/>
          <w:sz w:val="28"/>
          <w:szCs w:val="28"/>
        </w:rPr>
        <w:t> </w:t>
      </w:r>
      <w:r w:rsidRPr="00FB3229">
        <w:rPr>
          <w:rStyle w:val="a6"/>
          <w:rFonts w:ascii="楷体" w:eastAsia="楷体" w:hAnsi="楷体" w:hint="eastAsia"/>
          <w:color w:val="000000" w:themeColor="text1"/>
          <w:spacing w:val="8"/>
          <w:sz w:val="28"/>
          <w:szCs w:val="28"/>
        </w:rPr>
        <w:t>并明确，新签约项目不得从政府性基金预算、国有资本经营预算安排PPP项目运营补贴支出。</w:t>
      </w:r>
    </w:p>
    <w:p w:rsidR="00FB3229" w:rsidRPr="00FB3229" w:rsidRDefault="00FB3229" w:rsidP="00FB3229">
      <w:pPr>
        <w:pStyle w:val="a5"/>
        <w:shd w:val="clear" w:color="auto" w:fill="FFFFFF"/>
        <w:spacing w:before="0" w:beforeAutospacing="0" w:after="0" w:afterAutospacing="0" w:line="420" w:lineRule="atLeast"/>
        <w:jc w:val="both"/>
        <w:rPr>
          <w:rFonts w:ascii="楷体" w:eastAsia="楷体" w:hAnsi="楷体" w:hint="eastAsia"/>
          <w:color w:val="000000" w:themeColor="text1"/>
          <w:spacing w:val="8"/>
          <w:sz w:val="28"/>
          <w:szCs w:val="28"/>
        </w:rPr>
      </w:pPr>
      <w:r w:rsidRPr="00FB3229">
        <w:rPr>
          <w:rFonts w:ascii="楷体" w:eastAsia="楷体" w:hAnsi="楷体" w:hint="eastAsia"/>
          <w:color w:val="000000" w:themeColor="text1"/>
          <w:spacing w:val="8"/>
          <w:sz w:val="28"/>
          <w:szCs w:val="28"/>
        </w:rPr>
        <w:t>另外，财政部还建立PPP项目支出责任预警机制，</w:t>
      </w:r>
      <w:r w:rsidRPr="00FB3229">
        <w:rPr>
          <w:rStyle w:val="a6"/>
          <w:rFonts w:ascii="楷体" w:eastAsia="楷体" w:hAnsi="楷体" w:hint="eastAsia"/>
          <w:color w:val="000000" w:themeColor="text1"/>
          <w:spacing w:val="8"/>
          <w:sz w:val="28"/>
          <w:szCs w:val="28"/>
        </w:rPr>
        <w:t>对财政支出责任占比超过7%的地区进行风险提示，对超过10%的地区严禁新项目入库。</w:t>
      </w:r>
    </w:p>
    <w:p w:rsidR="00A3185E" w:rsidRPr="00FB3229" w:rsidRDefault="00FB3229" w:rsidP="00FB3229">
      <w:pPr>
        <w:pStyle w:val="a5"/>
        <w:shd w:val="clear" w:color="auto" w:fill="FFFFFF"/>
        <w:spacing w:before="0" w:beforeAutospacing="0" w:after="0" w:afterAutospacing="0" w:line="420" w:lineRule="atLeast"/>
        <w:jc w:val="both"/>
        <w:rPr>
          <w:rFonts w:ascii="楷体" w:eastAsia="楷体" w:hAnsi="楷体" w:hint="eastAsia"/>
          <w:color w:val="000000" w:themeColor="text1"/>
          <w:spacing w:val="8"/>
          <w:sz w:val="28"/>
          <w:szCs w:val="28"/>
        </w:rPr>
      </w:pPr>
      <w:r w:rsidRPr="00FB3229">
        <w:rPr>
          <w:rFonts w:ascii="楷体" w:eastAsia="楷体" w:hAnsi="楷体" w:hint="eastAsia"/>
          <w:color w:val="000000" w:themeColor="text1"/>
          <w:spacing w:val="8"/>
          <w:sz w:val="28"/>
          <w:szCs w:val="28"/>
        </w:rPr>
        <w:lastRenderedPageBreak/>
        <w:t>根据财政部PPP中心数据，截至今年1月底，全国PPP综合信息平台项目管理库入库项目8734个，入库项目金额20.6</w:t>
      </w:r>
      <w:proofErr w:type="gramStart"/>
      <w:r w:rsidRPr="00FB3229">
        <w:rPr>
          <w:rFonts w:ascii="楷体" w:eastAsia="楷体" w:hAnsi="楷体" w:hint="eastAsia"/>
          <w:color w:val="000000" w:themeColor="text1"/>
          <w:spacing w:val="8"/>
          <w:sz w:val="28"/>
          <w:szCs w:val="28"/>
        </w:rPr>
        <w:t>万亿</w:t>
      </w:r>
      <w:proofErr w:type="gramEnd"/>
      <w:r w:rsidRPr="00FB3229">
        <w:rPr>
          <w:rFonts w:ascii="楷体" w:eastAsia="楷体" w:hAnsi="楷体" w:hint="eastAsia"/>
          <w:color w:val="000000" w:themeColor="text1"/>
          <w:spacing w:val="8"/>
          <w:sz w:val="28"/>
          <w:szCs w:val="28"/>
        </w:rPr>
        <w:t>元。</w:t>
      </w:r>
    </w:p>
    <w:sectPr w:rsidR="00A3185E" w:rsidRPr="00FB32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CCE"/>
    <w:rsid w:val="00007436"/>
    <w:rsid w:val="000B2391"/>
    <w:rsid w:val="000B7207"/>
    <w:rsid w:val="000E29B5"/>
    <w:rsid w:val="000F73B0"/>
    <w:rsid w:val="0014466C"/>
    <w:rsid w:val="00183A63"/>
    <w:rsid w:val="001C060E"/>
    <w:rsid w:val="001F0CD4"/>
    <w:rsid w:val="001F7AC9"/>
    <w:rsid w:val="002529CE"/>
    <w:rsid w:val="0029372C"/>
    <w:rsid w:val="002E6EEB"/>
    <w:rsid w:val="003842B2"/>
    <w:rsid w:val="0038786D"/>
    <w:rsid w:val="00392CB9"/>
    <w:rsid w:val="003A3C3B"/>
    <w:rsid w:val="003B77CF"/>
    <w:rsid w:val="003E6029"/>
    <w:rsid w:val="004368E0"/>
    <w:rsid w:val="0048086E"/>
    <w:rsid w:val="004B007F"/>
    <w:rsid w:val="004B08C7"/>
    <w:rsid w:val="00521D91"/>
    <w:rsid w:val="00534B28"/>
    <w:rsid w:val="00537AB4"/>
    <w:rsid w:val="0058371F"/>
    <w:rsid w:val="00586547"/>
    <w:rsid w:val="00596433"/>
    <w:rsid w:val="005D734D"/>
    <w:rsid w:val="00766427"/>
    <w:rsid w:val="007933A7"/>
    <w:rsid w:val="007B60DE"/>
    <w:rsid w:val="007E09C4"/>
    <w:rsid w:val="00816EEB"/>
    <w:rsid w:val="00832CCE"/>
    <w:rsid w:val="0089270F"/>
    <w:rsid w:val="008B2D4C"/>
    <w:rsid w:val="008D6299"/>
    <w:rsid w:val="008D7451"/>
    <w:rsid w:val="008F27DB"/>
    <w:rsid w:val="009146D1"/>
    <w:rsid w:val="00952448"/>
    <w:rsid w:val="009656D6"/>
    <w:rsid w:val="009C24C4"/>
    <w:rsid w:val="009F6F2D"/>
    <w:rsid w:val="00A132E4"/>
    <w:rsid w:val="00A15A3D"/>
    <w:rsid w:val="00A17273"/>
    <w:rsid w:val="00A3185E"/>
    <w:rsid w:val="00A91B42"/>
    <w:rsid w:val="00AB5891"/>
    <w:rsid w:val="00AE5022"/>
    <w:rsid w:val="00AE7D41"/>
    <w:rsid w:val="00AF0ED9"/>
    <w:rsid w:val="00B05DD1"/>
    <w:rsid w:val="00B13AE2"/>
    <w:rsid w:val="00B83E38"/>
    <w:rsid w:val="00CF5DDB"/>
    <w:rsid w:val="00D02683"/>
    <w:rsid w:val="00D15988"/>
    <w:rsid w:val="00D46F33"/>
    <w:rsid w:val="00D7573A"/>
    <w:rsid w:val="00D95D6B"/>
    <w:rsid w:val="00DB01A9"/>
    <w:rsid w:val="00E21DEB"/>
    <w:rsid w:val="00E36C96"/>
    <w:rsid w:val="00EA66CA"/>
    <w:rsid w:val="00EC38BE"/>
    <w:rsid w:val="00EC70E8"/>
    <w:rsid w:val="00F11516"/>
    <w:rsid w:val="00F51B38"/>
    <w:rsid w:val="00F5562B"/>
    <w:rsid w:val="00F77BE7"/>
    <w:rsid w:val="00FA1629"/>
    <w:rsid w:val="00FB3229"/>
    <w:rsid w:val="00FB68F9"/>
    <w:rsid w:val="00FC7469"/>
    <w:rsid w:val="00FD05A0"/>
    <w:rsid w:val="00FD10F8"/>
    <w:rsid w:val="00FD2BDA"/>
    <w:rsid w:val="00FF6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29A864-9405-448F-83E9-648193704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FB322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B3229"/>
    <w:rPr>
      <w:rFonts w:ascii="宋体" w:eastAsia="宋体" w:hAnsi="宋体" w:cs="宋体"/>
      <w:b/>
      <w:bCs/>
      <w:kern w:val="0"/>
      <w:sz w:val="36"/>
      <w:szCs w:val="36"/>
    </w:rPr>
  </w:style>
  <w:style w:type="character" w:customStyle="1" w:styleId="richmediameta">
    <w:name w:val="rich_media_meta"/>
    <w:basedOn w:val="a0"/>
    <w:rsid w:val="00FB3229"/>
  </w:style>
  <w:style w:type="character" w:styleId="a3">
    <w:name w:val="Hyperlink"/>
    <w:basedOn w:val="a0"/>
    <w:uiPriority w:val="99"/>
    <w:unhideWhenUsed/>
    <w:rsid w:val="00FB3229"/>
    <w:rPr>
      <w:color w:val="0000FF"/>
      <w:u w:val="single"/>
    </w:rPr>
  </w:style>
  <w:style w:type="character" w:styleId="a4">
    <w:name w:val="Emphasis"/>
    <w:basedOn w:val="a0"/>
    <w:uiPriority w:val="20"/>
    <w:qFormat/>
    <w:rsid w:val="00FB3229"/>
    <w:rPr>
      <w:i/>
      <w:iCs/>
    </w:rPr>
  </w:style>
  <w:style w:type="paragraph" w:styleId="a5">
    <w:name w:val="Normal (Web)"/>
    <w:basedOn w:val="a"/>
    <w:uiPriority w:val="99"/>
    <w:unhideWhenUsed/>
    <w:rsid w:val="00FB3229"/>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FB32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141207">
      <w:bodyDiv w:val="1"/>
      <w:marLeft w:val="0"/>
      <w:marRight w:val="0"/>
      <w:marTop w:val="0"/>
      <w:marBottom w:val="0"/>
      <w:divBdr>
        <w:top w:val="none" w:sz="0" w:space="0" w:color="auto"/>
        <w:left w:val="none" w:sz="0" w:space="0" w:color="auto"/>
        <w:bottom w:val="none" w:sz="0" w:space="0" w:color="auto"/>
        <w:right w:val="none" w:sz="0" w:space="0" w:color="auto"/>
      </w:divBdr>
      <w:divsChild>
        <w:div w:id="2107918615">
          <w:marLeft w:val="0"/>
          <w:marRight w:val="0"/>
          <w:marTop w:val="0"/>
          <w:marBottom w:val="330"/>
          <w:divBdr>
            <w:top w:val="none" w:sz="0" w:space="0" w:color="auto"/>
            <w:left w:val="none" w:sz="0" w:space="0" w:color="auto"/>
            <w:bottom w:val="none" w:sz="0" w:space="0" w:color="auto"/>
            <w:right w:val="none" w:sz="0" w:space="0" w:color="auto"/>
          </w:divBdr>
        </w:div>
      </w:divsChild>
    </w:div>
    <w:div w:id="616378046">
      <w:bodyDiv w:val="1"/>
      <w:marLeft w:val="0"/>
      <w:marRight w:val="0"/>
      <w:marTop w:val="0"/>
      <w:marBottom w:val="0"/>
      <w:divBdr>
        <w:top w:val="none" w:sz="0" w:space="0" w:color="auto"/>
        <w:left w:val="none" w:sz="0" w:space="0" w:color="auto"/>
        <w:bottom w:val="none" w:sz="0" w:space="0" w:color="auto"/>
        <w:right w:val="none" w:sz="0" w:space="0" w:color="auto"/>
      </w:divBdr>
    </w:div>
    <w:div w:id="167949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p.weixin.qq.com/s/-D6J_EURe_1Sq3NxMycJdg" TargetMode="External"/><Relationship Id="rId4"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179</Words>
  <Characters>1022</Characters>
  <Application>Microsoft Office Word</Application>
  <DocSecurity>0</DocSecurity>
  <Lines>8</Lines>
  <Paragraphs>2</Paragraphs>
  <ScaleCrop>false</ScaleCrop>
  <Company>P R C</Company>
  <LinksUpToDate>false</LinksUpToDate>
  <CharactersWithSpaces>1199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张丽杰</dc:creator>
  <cp:keywords/>
  <dc:description/>
  <cp:lastModifiedBy>张丽杰</cp:lastModifiedBy>
  <cp:revision>3</cp:revision>
  <dcterms:created xsi:type="dcterms:W3CDTF">2019-03-27T06:20:00Z</dcterms:created>
  <dcterms:modified xsi:type="dcterms:W3CDTF">2019-03-27T06:22:00Z</dcterms:modified>
</cp:coreProperties>
</file>