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D9" w:rsidRPr="00E306D9" w:rsidRDefault="00E306D9" w:rsidP="0070404A">
      <w:pPr>
        <w:pStyle w:val="2"/>
      </w:pPr>
      <w:r w:rsidRPr="00E306D9">
        <w:rPr>
          <w:rFonts w:hint="eastAsia"/>
        </w:rPr>
        <w:t>江苏省发布新墙材产品目录和墙材产业发展导向，新增预制墙板（体）等11个品种</w:t>
      </w:r>
    </w:p>
    <w:p w:rsidR="00A3185E" w:rsidRPr="0070404A" w:rsidRDefault="00E306D9">
      <w:pPr>
        <w:rPr>
          <w:rStyle w:val="a6"/>
          <w:rFonts w:ascii="楷体" w:eastAsia="楷体" w:hAnsi="楷体"/>
          <w:i w:val="0"/>
          <w:iCs w:val="0"/>
          <w:color w:val="000000" w:themeColor="text1"/>
          <w:spacing w:val="8"/>
          <w:szCs w:val="21"/>
          <w:shd w:val="clear" w:color="auto" w:fill="FFFFFF"/>
        </w:rPr>
      </w:pPr>
      <w:r w:rsidRPr="0070404A">
        <w:rPr>
          <w:rStyle w:val="richmediameta"/>
          <w:rFonts w:ascii="楷体" w:eastAsia="楷体" w:hAnsi="楷体" w:hint="eastAsia"/>
          <w:color w:val="000000" w:themeColor="text1"/>
          <w:spacing w:val="8"/>
          <w:szCs w:val="21"/>
          <w:shd w:val="clear" w:color="auto" w:fill="FFFFFF"/>
        </w:rPr>
        <w:t>来源:</w:t>
      </w:r>
      <w:r w:rsidRPr="0070404A">
        <w:rPr>
          <w:rFonts w:ascii="楷体" w:eastAsia="楷体" w:hAnsi="楷体" w:hint="eastAsia"/>
          <w:color w:val="000000" w:themeColor="text1"/>
          <w:spacing w:val="8"/>
          <w:szCs w:val="21"/>
          <w:shd w:val="clear" w:color="auto" w:fill="FFFFFF"/>
        </w:rPr>
        <w:t xml:space="preserve"> </w:t>
      </w:r>
      <w:r w:rsidRPr="0070404A">
        <w:rPr>
          <w:rFonts w:ascii="Calibri" w:eastAsia="楷体" w:hAnsi="Calibri" w:cs="Calibri"/>
          <w:color w:val="000000" w:themeColor="text1"/>
          <w:spacing w:val="8"/>
          <w:szCs w:val="21"/>
          <w:shd w:val="clear" w:color="auto" w:fill="FFFFFF"/>
        </w:rPr>
        <w:t> </w:t>
      </w:r>
      <w:r w:rsidRPr="0070404A">
        <w:rPr>
          <w:rFonts w:ascii="楷体" w:eastAsia="楷体" w:hAnsi="楷体" w:hint="eastAsia"/>
          <w:color w:val="000000" w:themeColor="text1"/>
          <w:spacing w:val="8"/>
          <w:szCs w:val="21"/>
          <w:shd w:val="clear" w:color="auto" w:fill="FFFFFF"/>
        </w:rPr>
        <w:t>江苏省工信厅</w:t>
      </w:r>
      <w:r w:rsidRPr="0070404A">
        <w:rPr>
          <w:rFonts w:ascii="楷体" w:eastAsia="楷体" w:hAnsi="楷体" w:hint="eastAsia"/>
          <w:color w:val="000000" w:themeColor="text1"/>
          <w:spacing w:val="8"/>
          <w:szCs w:val="21"/>
          <w:shd w:val="clear" w:color="auto" w:fill="FFFFFF"/>
        </w:rPr>
        <w:t xml:space="preserve">  </w:t>
      </w:r>
      <w:r w:rsidRPr="0070404A">
        <w:rPr>
          <w:rFonts w:ascii="Calibri" w:eastAsia="楷体" w:hAnsi="Calibri" w:cs="Calibri"/>
          <w:color w:val="000000" w:themeColor="text1"/>
          <w:spacing w:val="8"/>
          <w:szCs w:val="21"/>
          <w:shd w:val="clear" w:color="auto" w:fill="FFFFFF"/>
        </w:rPr>
        <w:t> </w:t>
      </w:r>
      <w:r w:rsidRPr="0070404A">
        <w:rPr>
          <w:rStyle w:val="a6"/>
          <w:rFonts w:ascii="楷体" w:eastAsia="楷体" w:hAnsi="楷体" w:hint="eastAsia"/>
          <w:i w:val="0"/>
          <w:iCs w:val="0"/>
          <w:color w:val="000000" w:themeColor="text1"/>
          <w:spacing w:val="8"/>
          <w:szCs w:val="21"/>
          <w:shd w:val="clear" w:color="auto" w:fill="FFFFFF"/>
        </w:rPr>
        <w:t>2019-03-04</w:t>
      </w:r>
    </w:p>
    <w:p w:rsidR="00E306D9" w:rsidRPr="0070404A" w:rsidRDefault="00E306D9">
      <w:pPr>
        <w:rPr>
          <w:rStyle w:val="a6"/>
          <w:rFonts w:ascii="楷体" w:eastAsia="楷体" w:hAnsi="楷体"/>
          <w:i w:val="0"/>
          <w:iCs w:val="0"/>
          <w:color w:val="000000" w:themeColor="text1"/>
          <w:spacing w:val="8"/>
          <w:szCs w:val="21"/>
          <w:shd w:val="clear" w:color="auto" w:fill="FFFFFF"/>
        </w:rPr>
      </w:pPr>
      <w:r w:rsidRPr="0070404A">
        <w:rPr>
          <w:rStyle w:val="a6"/>
          <w:rFonts w:ascii="楷体" w:eastAsia="楷体" w:hAnsi="楷体" w:hint="eastAsia"/>
          <w:i w:val="0"/>
          <w:iCs w:val="0"/>
          <w:color w:val="000000" w:themeColor="text1"/>
          <w:spacing w:val="8"/>
          <w:szCs w:val="21"/>
          <w:shd w:val="clear" w:color="auto" w:fill="FFFFFF"/>
        </w:rPr>
        <w:t>链接:</w:t>
      </w:r>
      <w:r w:rsidRPr="0070404A">
        <w:rPr>
          <w:rFonts w:ascii="楷体" w:eastAsia="楷体" w:hAnsi="楷体"/>
          <w:color w:val="000000" w:themeColor="text1"/>
          <w:szCs w:val="21"/>
        </w:rPr>
        <w:t xml:space="preserve"> </w:t>
      </w:r>
      <w:hyperlink r:id="rId6" w:history="1">
        <w:r w:rsidRPr="0070404A">
          <w:rPr>
            <w:rStyle w:val="a5"/>
            <w:rFonts w:ascii="楷体" w:eastAsia="楷体" w:hAnsi="楷体"/>
            <w:color w:val="000000" w:themeColor="text1"/>
            <w:spacing w:val="8"/>
            <w:szCs w:val="21"/>
            <w:shd w:val="clear" w:color="auto" w:fill="FFFFFF"/>
          </w:rPr>
          <w:t>https://mp.weixin.qq.com/s/lYsdqo6B6hGyujd1BqFSiw</w:t>
        </w:r>
      </w:hyperlink>
    </w:p>
    <w:p w:rsidR="00E306D9" w:rsidRPr="00E306D9" w:rsidRDefault="00E306D9" w:rsidP="00E306D9">
      <w:pPr>
        <w:pStyle w:val="a7"/>
        <w:shd w:val="clear" w:color="auto" w:fill="FFFFFF"/>
        <w:spacing w:before="0" w:beforeAutospacing="0" w:after="0" w:afterAutospacing="0"/>
        <w:jc w:val="both"/>
        <w:rPr>
          <w:rFonts w:ascii="楷体" w:eastAsia="楷体" w:hAnsi="楷体"/>
          <w:color w:val="333333"/>
          <w:spacing w:val="15"/>
          <w:sz w:val="28"/>
          <w:szCs w:val="28"/>
        </w:rPr>
      </w:pPr>
      <w:r w:rsidRPr="00E306D9">
        <w:rPr>
          <w:rFonts w:ascii="楷体" w:eastAsia="楷体" w:hAnsi="楷体" w:hint="eastAsia"/>
          <w:color w:val="333333"/>
          <w:spacing w:val="15"/>
          <w:sz w:val="28"/>
          <w:szCs w:val="28"/>
        </w:rPr>
        <w:t>近日，江苏省五部门联合发布了《江苏省新型墙体材料产品目录》（2019年本）和《江苏省墙体材料产业发展导向》（2019年本）（以下简称《产品目录》和《产业导向》）。</w:t>
      </w:r>
    </w:p>
    <w:p w:rsidR="00E306D9" w:rsidRPr="00E306D9" w:rsidRDefault="00E306D9" w:rsidP="00E306D9">
      <w:pPr>
        <w:pStyle w:val="a7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hint="eastAsia"/>
          <w:color w:val="333333"/>
          <w:spacing w:val="15"/>
          <w:sz w:val="28"/>
          <w:szCs w:val="28"/>
        </w:rPr>
      </w:pPr>
      <w:r w:rsidRPr="00E306D9">
        <w:rPr>
          <w:rFonts w:ascii="楷体" w:eastAsia="楷体" w:hAnsi="楷体" w:hint="eastAsia"/>
          <w:color w:val="333333"/>
          <w:spacing w:val="15"/>
          <w:sz w:val="28"/>
          <w:szCs w:val="28"/>
        </w:rPr>
        <w:t>根据国务院办公厅《关于大力发展装配式建筑的指导意见》，《产品目录》增加了装配式的预制墙板（体）等11个品种。</w:t>
      </w:r>
    </w:p>
    <w:p w:rsidR="00E306D9" w:rsidRPr="00E306D9" w:rsidRDefault="00E306D9" w:rsidP="0070404A">
      <w:pPr>
        <w:rPr>
          <w:rFonts w:ascii="楷体" w:eastAsia="楷体" w:hAnsi="楷体"/>
          <w:sz w:val="28"/>
          <w:szCs w:val="28"/>
        </w:rPr>
      </w:pPr>
      <w:r w:rsidRPr="00E306D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4E17F57" wp14:editId="36C2CDC3">
            <wp:extent cx="5274310" cy="2875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6D9">
        <w:rPr>
          <w:rFonts w:ascii="楷体" w:eastAsia="楷体" w:hAnsi="楷体"/>
          <w:b/>
          <w:bCs/>
          <w:sz w:val="28"/>
          <w:szCs w:val="28"/>
        </w:rPr>
        <w:br/>
      </w:r>
      <w:r w:rsidRPr="00E306D9">
        <w:rPr>
          <w:rStyle w:val="a8"/>
          <w:rFonts w:ascii="楷体" w:eastAsia="楷体" w:hAnsi="楷体"/>
          <w:sz w:val="28"/>
          <w:szCs w:val="28"/>
        </w:rPr>
        <w:t>江苏省新型墙体材料产品目录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1</w:t>
      </w:r>
      <w:r w:rsidRPr="00E306D9">
        <w:rPr>
          <w:rStyle w:val="a8"/>
          <w:rFonts w:ascii="Calibri" w:eastAsia="楷体" w:hAnsi="Calibri" w:cs="Calibri"/>
          <w:sz w:val="28"/>
          <w:szCs w:val="28"/>
        </w:rPr>
        <w:t> </w:t>
      </w:r>
      <w:r w:rsidRPr="00E306D9">
        <w:rPr>
          <w:rFonts w:ascii="楷体" w:eastAsia="楷体" w:hAnsi="楷体"/>
          <w:sz w:val="28"/>
          <w:szCs w:val="28"/>
        </w:rPr>
        <w:t>烧结保温砌块（砖）、复合保温砌块（砖）（利用废渣生产，符合GB 26538 或GB/T 29060技术要求）；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2</w:t>
      </w:r>
      <w:r w:rsidRPr="00E306D9">
        <w:rPr>
          <w:rFonts w:ascii="Calibri" w:eastAsia="楷体" w:hAnsi="Calibri" w:cs="Calibri"/>
          <w:sz w:val="28"/>
          <w:szCs w:val="28"/>
        </w:rPr>
        <w:t> </w:t>
      </w:r>
      <w:r w:rsidRPr="00E306D9">
        <w:rPr>
          <w:rFonts w:ascii="楷体" w:eastAsia="楷体" w:hAnsi="楷体"/>
          <w:sz w:val="28"/>
          <w:szCs w:val="28"/>
        </w:rPr>
        <w:t>烧结多孔砖和多孔砌块（利用废渣生产，符合GB 13544技术要求）；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lastRenderedPageBreak/>
        <w:t>3</w:t>
      </w:r>
      <w:r w:rsidRPr="00E306D9">
        <w:rPr>
          <w:rFonts w:ascii="Calibri" w:eastAsia="楷体" w:hAnsi="Calibri" w:cs="Calibri"/>
          <w:sz w:val="28"/>
          <w:szCs w:val="28"/>
        </w:rPr>
        <w:t> </w:t>
      </w:r>
      <w:r w:rsidRPr="00E306D9">
        <w:rPr>
          <w:rFonts w:ascii="楷体" w:eastAsia="楷体" w:hAnsi="楷体"/>
          <w:sz w:val="28"/>
          <w:szCs w:val="28"/>
        </w:rPr>
        <w:t>烧结空心砖和烧结空心砌块（利用废渣生产，符合GB 13545技术要求）；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……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 w:hint="eastAsia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21</w:t>
      </w:r>
      <w:r w:rsidRPr="00E306D9">
        <w:rPr>
          <w:rFonts w:ascii="Calibri" w:eastAsia="楷体" w:hAnsi="Calibri" w:cs="Calibri"/>
          <w:sz w:val="28"/>
          <w:szCs w:val="28"/>
        </w:rPr>
        <w:t> </w:t>
      </w:r>
      <w:r w:rsidRPr="00E306D9">
        <w:rPr>
          <w:rFonts w:ascii="楷体" w:eastAsia="楷体" w:hAnsi="楷体"/>
          <w:sz w:val="28"/>
          <w:szCs w:val="28"/>
        </w:rPr>
        <w:t>装配式的预制墙板（体）、楼板、楼梯板和阳台板等水泥预制件（企业有产品标准并符合国家和省有关标准规范的技术要求）；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江苏省墙体材料产业发展导向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鼓励发展的墙体材料产品和生产工艺及规模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装配式的预制墙板（体）、楼板等水泥预制件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Fonts w:ascii="楷体" w:eastAsia="楷体" w:hAnsi="楷体"/>
          <w:sz w:val="28"/>
          <w:szCs w:val="28"/>
        </w:rPr>
        <w:t>采用计算机控制和管理，实现预制件数码标识和数字化管理；采用混凝土自动配料集中搅拌、钢筋机械加工、自动布料、振动控制、蒸养温控等系统的自动化程度高的生产线。楼梯板和阳台板等其他水泥预制件：采用预制件数码标识和数字化管理；采用混凝土自动配料集中搅拌、人工养护的自动化程度较高的生产线。装配式的预制墙板（体）、楼板、楼梯板和阳台板等其他水泥预制件合计年生产规模应在5万立方米以上。</w:t>
      </w:r>
      <w:r w:rsidRPr="00E306D9">
        <w:rPr>
          <w:rFonts w:ascii="楷体" w:eastAsia="楷体" w:hAnsi="楷体"/>
          <w:b/>
          <w:bCs/>
          <w:sz w:val="28"/>
          <w:szCs w:val="28"/>
        </w:rPr>
        <w:br/>
      </w:r>
      <w:r w:rsidRPr="00E306D9">
        <w:rPr>
          <w:rStyle w:val="a8"/>
          <w:rFonts w:ascii="楷体" w:eastAsia="楷体" w:hAnsi="楷体"/>
          <w:sz w:val="28"/>
          <w:szCs w:val="28"/>
        </w:rPr>
        <w:t>高性能混凝土、再生骨料混凝土、环保型混凝土及特种混凝土等绿色混凝土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 w:hint="eastAsia"/>
          <w:sz w:val="28"/>
          <w:szCs w:val="28"/>
        </w:rPr>
      </w:pPr>
      <w:r w:rsidRPr="00E306D9">
        <w:rPr>
          <w:rFonts w:ascii="楷体" w:eastAsia="楷体" w:hAnsi="楷体"/>
          <w:sz w:val="28"/>
          <w:szCs w:val="28"/>
        </w:rPr>
        <w:t>符合《江苏省预拌混凝土绿色生产管理规程》的年生产规模在60万立方米以上工业自动化生产线。</w:t>
      </w:r>
      <w:bookmarkStart w:id="0" w:name="_GoBack"/>
      <w:bookmarkEnd w:id="0"/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限制的墙体材料产品和生产工艺及规模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装配式的预制墙板（体）、楼板等水泥预制件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Fonts w:ascii="楷体" w:eastAsia="楷体" w:hAnsi="楷体"/>
          <w:sz w:val="28"/>
          <w:szCs w:val="28"/>
        </w:rPr>
        <w:lastRenderedPageBreak/>
        <w:t>未采用构件数码标识和数字化管理、混凝土自动配料集中搅拌，振动控制、蒸养温控等基础设施不完备，自动化程度较低的生产线。楼梯板和阳台板等其他水泥预制件：未采用构件数码标识和数字化管理、混凝土自动配料集中搅拌、人工养护，基础设施不完备，自动化程度较低的生产线。装配式的预制墙板（体）、楼板、楼梯板和阳台板等水泥预制件合计年生产规模在2万立方米以下。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Style w:val="a8"/>
          <w:rFonts w:ascii="楷体" w:eastAsia="楷体" w:hAnsi="楷体"/>
          <w:sz w:val="28"/>
          <w:szCs w:val="28"/>
        </w:rPr>
        <w:t>混凝土砌块（砖）类</w:t>
      </w:r>
    </w:p>
    <w:p w:rsidR="00E306D9" w:rsidRPr="00E306D9" w:rsidRDefault="00E306D9" w:rsidP="00E306D9">
      <w:pPr>
        <w:pStyle w:val="a7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E306D9">
        <w:rPr>
          <w:rFonts w:ascii="楷体" w:eastAsia="楷体" w:hAnsi="楷体"/>
          <w:sz w:val="28"/>
          <w:szCs w:val="28"/>
        </w:rPr>
        <w:t>成型机功率小于30kW，无自动计量配料，无养护室（窑），单机单班年生产能力在5万立方米以下的生产线。</w:t>
      </w:r>
    </w:p>
    <w:p w:rsidR="00E306D9" w:rsidRPr="00E306D9" w:rsidRDefault="00E306D9">
      <w:pPr>
        <w:rPr>
          <w:rFonts w:ascii="楷体" w:eastAsia="楷体" w:hAnsi="楷体" w:hint="eastAsia"/>
          <w:sz w:val="28"/>
          <w:szCs w:val="28"/>
        </w:rPr>
      </w:pPr>
    </w:p>
    <w:sectPr w:rsidR="00E306D9" w:rsidRPr="00E3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522" w:rsidRDefault="007E5522" w:rsidP="00E306D9">
      <w:r>
        <w:separator/>
      </w:r>
    </w:p>
  </w:endnote>
  <w:endnote w:type="continuationSeparator" w:id="0">
    <w:p w:rsidR="007E5522" w:rsidRDefault="007E5522" w:rsidP="00E3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522" w:rsidRDefault="007E5522" w:rsidP="00E306D9">
      <w:r>
        <w:separator/>
      </w:r>
    </w:p>
  </w:footnote>
  <w:footnote w:type="continuationSeparator" w:id="0">
    <w:p w:rsidR="007E5522" w:rsidRDefault="007E5522" w:rsidP="00E30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72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00872"/>
    <w:rsid w:val="0070404A"/>
    <w:rsid w:val="00766427"/>
    <w:rsid w:val="007933A7"/>
    <w:rsid w:val="007B60DE"/>
    <w:rsid w:val="007E09C4"/>
    <w:rsid w:val="007E5522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06D9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02AA5-7855-4C4F-8ACD-DFD56A66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306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6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06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E306D9"/>
  </w:style>
  <w:style w:type="character" w:styleId="a5">
    <w:name w:val="Hyperlink"/>
    <w:basedOn w:val="a0"/>
    <w:uiPriority w:val="99"/>
    <w:unhideWhenUsed/>
    <w:rsid w:val="00E306D9"/>
    <w:rPr>
      <w:color w:val="0000FF"/>
      <w:u w:val="single"/>
    </w:rPr>
  </w:style>
  <w:style w:type="character" w:styleId="a6">
    <w:name w:val="Emphasis"/>
    <w:basedOn w:val="a0"/>
    <w:uiPriority w:val="20"/>
    <w:qFormat/>
    <w:rsid w:val="00E306D9"/>
    <w:rPr>
      <w:i/>
      <w:iCs/>
    </w:rPr>
  </w:style>
  <w:style w:type="paragraph" w:styleId="a7">
    <w:name w:val="Normal (Web)"/>
    <w:basedOn w:val="a"/>
    <w:uiPriority w:val="99"/>
    <w:semiHidden/>
    <w:unhideWhenUsed/>
    <w:rsid w:val="00E30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30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Ysdqo6B6hGyujd1BqFSi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168</Words>
  <Characters>960</Characters>
  <Application>Microsoft Office Word</Application>
  <DocSecurity>0</DocSecurity>
  <Lines>8</Lines>
  <Paragraphs>2</Paragraphs>
  <ScaleCrop>false</ScaleCrop>
  <Company>P R C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2019-03-27T02:44:00Z</dcterms:created>
  <dcterms:modified xsi:type="dcterms:W3CDTF">2019-03-27T04:56:00Z</dcterms:modified>
</cp:coreProperties>
</file>