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both"/>
        <w:rPr>
          <w:rFonts w:hint="eastAsia" w:eastAsiaTheme="minorEastAsia"/>
          <w:lang w:eastAsia="zh-CN"/>
        </w:rPr>
      </w:pPr>
      <w:r>
        <w:rPr>
          <w:rFonts w:hint="eastAsia"/>
          <w:lang w:val="en-US" w:eastAsia="zh-CN"/>
        </w:rPr>
        <w:t>feature</w:t>
      </w:r>
      <w:r>
        <w:rPr>
          <w:rFonts w:hint="eastAsia" w:eastAsiaTheme="minorEastAsia"/>
          <w:lang w:eastAsia="zh-CN"/>
        </w:rPr>
        <w:t xml:space="preserve">-based </w:t>
      </w:r>
      <w:bookmarkStart w:id="0" w:name="OLE_LINK2"/>
      <w:r>
        <w:rPr>
          <w:rFonts w:hint="eastAsia" w:eastAsiaTheme="minorEastAsia"/>
          <w:lang w:eastAsia="zh-CN"/>
        </w:rPr>
        <w:t>ablation experiment</w:t>
      </w:r>
      <w:bookmarkEnd w:id="0"/>
    </w:p>
    <w:p>
      <w:pPr>
        <w:numPr>
          <w:ilvl w:val="0"/>
          <w:numId w:val="0"/>
        </w:numPr>
        <w:jc w:val="both"/>
        <w:rPr>
          <w:rFonts w:hint="eastAsia" w:eastAsiaTheme="minorEastAsia"/>
          <w:lang w:eastAsia="zh-CN"/>
        </w:rPr>
      </w:pPr>
      <w:r>
        <w:rPr>
          <w:rFonts w:hint="eastAsia" w:eastAsiaTheme="minorEastAsia"/>
          <w:lang w:eastAsia="zh-CN"/>
        </w:rPr>
        <w:t>Considering the influence of different features on the model performance,</w:t>
      </w:r>
      <w:r>
        <w:rPr>
          <w:rFonts w:hint="eastAsia"/>
          <w:lang w:val="en-US" w:eastAsia="zh-CN"/>
        </w:rPr>
        <w:t xml:space="preserve"> the</w:t>
      </w:r>
      <w:r>
        <w:rPr>
          <w:rFonts w:hint="eastAsia" w:eastAsiaTheme="minorEastAsia"/>
          <w:lang w:eastAsia="zh-CN"/>
        </w:rPr>
        <w:t xml:space="preserve"> ablation experiment based on different features were designed to study the information complementarity between two different features.</w:t>
      </w:r>
      <w:r>
        <w:rPr>
          <w:rFonts w:hint="eastAsia"/>
          <w:lang w:val="en-US" w:eastAsia="zh-CN"/>
        </w:rPr>
        <w:t xml:space="preserve"> </w:t>
      </w:r>
      <w:r>
        <w:rPr>
          <w:rFonts w:hint="eastAsia" w:eastAsiaTheme="minorEastAsia"/>
          <w:lang w:eastAsia="zh-CN"/>
        </w:rPr>
        <w:t xml:space="preserve">The experimental results showed that the fusion features of the two can significantly improve the robustness and accuracy of </w:t>
      </w:r>
      <w:r>
        <w:rPr>
          <w:rFonts w:hint="eastAsia"/>
          <w:lang w:val="en-US" w:eastAsia="zh-CN"/>
        </w:rPr>
        <w:t>the model</w:t>
      </w:r>
      <w:r>
        <w:rPr>
          <w:rFonts w:hint="eastAsia" w:eastAsiaTheme="minorEastAsia"/>
          <w:lang w:eastAsia="zh-CN"/>
        </w:rPr>
        <w:t>.</w:t>
      </w:r>
      <w:r>
        <w:rPr>
          <w:rFonts w:hint="eastAsia"/>
          <w:lang w:val="en-US" w:eastAsia="zh-CN"/>
        </w:rPr>
        <w:t xml:space="preserve"> The </w:t>
      </w:r>
      <w:r>
        <w:rPr>
          <w:rFonts w:hint="eastAsia" w:eastAsiaTheme="minorEastAsia"/>
          <w:lang w:eastAsia="zh-CN"/>
        </w:rPr>
        <w:t>AUC</w:t>
      </w:r>
      <w:r>
        <w:rPr>
          <w:rFonts w:hint="eastAsia"/>
          <w:lang w:val="en-US" w:eastAsia="zh-CN"/>
        </w:rPr>
        <w:t xml:space="preserve"> </w:t>
      </w:r>
      <w:r>
        <w:rPr>
          <w:rFonts w:hint="eastAsia" w:eastAsiaTheme="minorEastAsia"/>
          <w:lang w:eastAsia="zh-CN"/>
        </w:rPr>
        <w:t xml:space="preserve">are shown in </w:t>
      </w:r>
      <w:r>
        <w:rPr>
          <w:rFonts w:hint="eastAsia"/>
          <w:lang w:val="en-US" w:eastAsia="zh-CN"/>
        </w:rPr>
        <w:t>F</w:t>
      </w:r>
      <w:r>
        <w:rPr>
          <w:rFonts w:hint="eastAsia" w:eastAsiaTheme="minorEastAsia"/>
          <w:lang w:eastAsia="zh-CN"/>
        </w:rPr>
        <w:t>igure</w:t>
      </w:r>
      <w:r>
        <w:rPr>
          <w:rFonts w:hint="eastAsia"/>
          <w:lang w:val="en-US" w:eastAsia="zh-CN"/>
        </w:rPr>
        <w:t xml:space="preserve"> 1</w:t>
      </w:r>
      <w:r>
        <w:rPr>
          <w:rFonts w:hint="eastAsia" w:eastAsiaTheme="minorEastAsia"/>
          <w:lang w:eastAsia="zh-CN"/>
        </w:rPr>
        <w:t>.</w:t>
      </w:r>
    </w:p>
    <w:p>
      <w:pPr>
        <w:numPr>
          <w:ilvl w:val="0"/>
          <w:numId w:val="0"/>
        </w:numPr>
        <w:jc w:val="center"/>
        <w:rPr>
          <w:rFonts w:hint="eastAsia" w:eastAsiaTheme="minorEastAsia"/>
          <w:lang w:eastAsia="zh-CN"/>
        </w:rPr>
      </w:pPr>
      <w:r>
        <w:rPr>
          <w:rFonts w:hint="eastAsia" w:eastAsiaTheme="minorEastAsia"/>
          <w:lang w:eastAsia="zh-CN"/>
        </w:rPr>
        <w:drawing>
          <wp:inline distT="0" distB="0" distL="114300" distR="114300">
            <wp:extent cx="3256280" cy="2605405"/>
            <wp:effectExtent l="0" t="0" r="5080" b="635"/>
            <wp:docPr id="3" name="图片 3" descr="消融_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消融_AUC"/>
                    <pic:cNvPicPr>
                      <a:picLocks noChangeAspect="1"/>
                    </pic:cNvPicPr>
                  </pic:nvPicPr>
                  <pic:blipFill>
                    <a:blip r:embed="rId4"/>
                    <a:stretch>
                      <a:fillRect/>
                    </a:stretch>
                  </pic:blipFill>
                  <pic:spPr>
                    <a:xfrm>
                      <a:off x="0" y="0"/>
                      <a:ext cx="3256280" cy="2605405"/>
                    </a:xfrm>
                    <a:prstGeom prst="rect">
                      <a:avLst/>
                    </a:prstGeom>
                  </pic:spPr>
                </pic:pic>
              </a:graphicData>
            </a:graphic>
          </wp:inline>
        </w:drawing>
      </w:r>
    </w:p>
    <w:p>
      <w:pPr>
        <w:numPr>
          <w:ilvl w:val="0"/>
          <w:numId w:val="0"/>
        </w:numPr>
        <w:jc w:val="center"/>
        <w:rPr>
          <w:rFonts w:hint="default" w:eastAsiaTheme="minorEastAsia"/>
          <w:lang w:val="en-US" w:eastAsia="zh-CN"/>
        </w:rPr>
      </w:pPr>
      <w:bookmarkStart w:id="1" w:name="OLE_LINK1"/>
      <w:r>
        <w:rPr>
          <w:rFonts w:hint="eastAsia"/>
          <w:lang w:val="en-US" w:eastAsia="zh-CN"/>
        </w:rPr>
        <w:t xml:space="preserve">Figure 1. The </w:t>
      </w:r>
      <w:r>
        <w:rPr>
          <w:rFonts w:hint="eastAsia" w:eastAsiaTheme="minorEastAsia"/>
          <w:lang w:eastAsia="zh-CN"/>
        </w:rPr>
        <w:t>AUC</w:t>
      </w:r>
      <w:r>
        <w:rPr>
          <w:rFonts w:hint="eastAsia"/>
          <w:lang w:val="en-US" w:eastAsia="zh-CN"/>
        </w:rPr>
        <w:t xml:space="preserve"> curves of the </w:t>
      </w:r>
      <w:r>
        <w:rPr>
          <w:rFonts w:hint="eastAsia" w:eastAsiaTheme="minorEastAsia"/>
          <w:lang w:eastAsia="zh-CN"/>
        </w:rPr>
        <w:t>ablation experiment</w:t>
      </w:r>
      <w:r>
        <w:rPr>
          <w:rFonts w:hint="eastAsia"/>
          <w:lang w:val="en-US" w:eastAsia="zh-CN"/>
        </w:rPr>
        <w:t>.</w:t>
      </w:r>
    </w:p>
    <w:bookmarkEnd w:id="1"/>
    <w:p>
      <w:pPr>
        <w:rPr>
          <w:rFonts w:ascii="Times New Roman" w:hAnsi="Times New Roman" w:cs="Times New Roman"/>
          <w:color w:val="000000"/>
          <w:szCs w:val="21"/>
        </w:rPr>
      </w:pPr>
      <w:r>
        <w:rPr>
          <w:rFonts w:hint="eastAsia" w:ascii="Times New Roman" w:hAnsi="Times New Roman" w:cs="Times New Roman"/>
          <w:color w:val="000000"/>
          <w:szCs w:val="21"/>
        </w:rPr>
        <w:t>2. Negative sample analysis</w:t>
      </w:r>
    </w:p>
    <w:p>
      <w:pPr>
        <w:rPr>
          <w:rFonts w:ascii="Times New Roman" w:hAnsi="Times New Roman" w:cs="Times New Roman"/>
          <w:color w:val="000000"/>
          <w:szCs w:val="21"/>
        </w:rPr>
      </w:pPr>
      <w:r>
        <w:rPr>
          <w:rFonts w:hint="eastAsia" w:ascii="Times New Roman" w:hAnsi="Times New Roman" w:cs="Times New Roman"/>
          <w:color w:val="000000"/>
          <w:szCs w:val="21"/>
        </w:rPr>
        <w:t>We added new comparative experiments according to the suggestions of reviewers</w:t>
      </w:r>
      <w:r>
        <w:rPr>
          <w:rFonts w:hint="eastAsia" w:ascii="Times New Roman" w:hAnsi="Times New Roman" w:cs="Times New Roman"/>
          <w:color w:val="000000"/>
          <w:szCs w:val="21"/>
          <w:lang w:val="en-US" w:eastAsia="zh-CN"/>
        </w:rPr>
        <w:t xml:space="preserve">. </w:t>
      </w:r>
      <w:r>
        <w:rPr>
          <w:rFonts w:hint="eastAsia" w:ascii="Times New Roman" w:hAnsi="Times New Roman" w:cs="Times New Roman"/>
          <w:color w:val="000000"/>
          <w:szCs w:val="21"/>
        </w:rPr>
        <w:t xml:space="preserve">In this paper, the pairs between lncRNAs and diseases without interaction were treated as negative samples. We generated the same number of negative samples as known positive samples to obtain a balanced samples. However, positive samples and negative samples are not balanced most of time. Therefore, we try to explore the performance of </w:t>
      </w:r>
      <w:r>
        <w:rPr>
          <w:rFonts w:ascii="Times New Roman" w:hAnsi="Times New Roman" w:cs="Times New Roman"/>
        </w:rPr>
        <w:t>DHNLDA</w:t>
      </w:r>
      <w:r>
        <w:rPr>
          <w:rFonts w:hint="eastAsia" w:ascii="Times New Roman" w:hAnsi="Times New Roman" w:cs="Times New Roman"/>
        </w:rPr>
        <w:t xml:space="preserve"> </w:t>
      </w:r>
      <w:r>
        <w:rPr>
          <w:rFonts w:hint="eastAsia" w:ascii="Times New Roman" w:hAnsi="Times New Roman" w:cs="Times New Roman"/>
          <w:color w:val="000000"/>
          <w:szCs w:val="21"/>
        </w:rPr>
        <w:t xml:space="preserve">in the different sample ratios. </w:t>
      </w:r>
      <w:r>
        <w:rPr>
          <w:rFonts w:ascii="Times New Roman" w:hAnsi="Times New Roman" w:cs="Times New Roman"/>
          <w:color w:val="000000"/>
          <w:sz w:val="21"/>
          <w:szCs w:val="21"/>
        </w:rPr>
        <w:t>β</w:t>
      </w:r>
      <w:r>
        <w:rPr>
          <w:rFonts w:hint="eastAsia" w:ascii="Times New Roman" w:hAnsi="Times New Roman" w:cs="Times New Roman"/>
          <w:color w:val="000000"/>
          <w:sz w:val="21"/>
          <w:szCs w:val="21"/>
        </w:rPr>
        <w:t xml:space="preserve"> </w:t>
      </w:r>
      <w:r>
        <w:rPr>
          <w:rFonts w:hint="eastAsia" w:ascii="Times New Roman" w:hAnsi="Times New Roman" w:cs="Times New Roman"/>
          <w:color w:val="000000"/>
          <w:szCs w:val="21"/>
        </w:rPr>
        <w:t xml:space="preserve">records the different ratios between negative samples and positive samples and ranged from 0.25, 0.5, 1.0, 2.0 to 4.0. Table 1 shows the experimental results. Although the dataset is not balanced, </w:t>
      </w:r>
      <w:r>
        <w:rPr>
          <w:rFonts w:ascii="Times New Roman" w:hAnsi="Times New Roman" w:cs="Times New Roman"/>
        </w:rPr>
        <w:t>DHNLDA</w:t>
      </w:r>
      <w:r>
        <w:rPr>
          <w:rFonts w:hint="eastAsia" w:ascii="Times New Roman" w:hAnsi="Times New Roman" w:cs="Times New Roman"/>
        </w:rPr>
        <w:t xml:space="preserve"> </w:t>
      </w:r>
      <w:r>
        <w:rPr>
          <w:rFonts w:hint="eastAsia" w:ascii="Times New Roman" w:hAnsi="Times New Roman" w:cs="Times New Roman"/>
          <w:color w:val="000000"/>
          <w:szCs w:val="21"/>
        </w:rPr>
        <w:t xml:space="preserve">could still obtain excellent results. When the ratio </w:t>
      </w:r>
      <w:r>
        <w:rPr>
          <w:rFonts w:ascii="Times New Roman" w:hAnsi="Times New Roman" w:cs="Times New Roman"/>
          <w:color w:val="000000"/>
          <w:sz w:val="21"/>
          <w:szCs w:val="21"/>
        </w:rPr>
        <w:t>β</w:t>
      </w:r>
      <w:r>
        <w:rPr>
          <w:rFonts w:hint="eastAsia" w:ascii="Times New Roman" w:hAnsi="Times New Roman" w:cs="Times New Roman"/>
          <w:color w:val="000000"/>
          <w:szCs w:val="21"/>
        </w:rPr>
        <w:t xml:space="preserve"> is 1.0, </w:t>
      </w:r>
      <w:r>
        <w:rPr>
          <w:rFonts w:ascii="Times New Roman" w:hAnsi="Times New Roman" w:cs="Times New Roman"/>
        </w:rPr>
        <w:t>DHNLDA</w:t>
      </w:r>
      <w:r>
        <w:rPr>
          <w:rFonts w:hint="eastAsia" w:ascii="Times New Roman" w:hAnsi="Times New Roman" w:cs="Times New Roman"/>
          <w:color w:val="000000"/>
          <w:szCs w:val="21"/>
        </w:rPr>
        <w:t xml:space="preserve"> has a higher AUC value. The unbalanced samples experiments show that </w:t>
      </w:r>
      <w:r>
        <w:rPr>
          <w:rFonts w:ascii="Times New Roman" w:hAnsi="Times New Roman" w:cs="Times New Roman"/>
        </w:rPr>
        <w:t>DHNLDA</w:t>
      </w:r>
      <w:r>
        <w:rPr>
          <w:rFonts w:hint="eastAsia" w:ascii="Times New Roman" w:hAnsi="Times New Roman" w:cs="Times New Roman"/>
        </w:rPr>
        <w:t xml:space="preserve"> </w:t>
      </w:r>
      <w:r>
        <w:rPr>
          <w:rFonts w:hint="eastAsia" w:ascii="Times New Roman" w:hAnsi="Times New Roman" w:cs="Times New Roman"/>
          <w:color w:val="000000"/>
          <w:szCs w:val="21"/>
        </w:rPr>
        <w:t>is a robust and reliable model to predict potential lncRNA-disease associations.</w:t>
      </w:r>
    </w:p>
    <w:p>
      <w:pPr>
        <w:jc w:val="center"/>
        <w:rPr>
          <w:rFonts w:hint="eastAsia" w:ascii="Times New Roman" w:hAnsi="Times New Roman" w:cs="Times New Roman"/>
          <w:color w:val="000000"/>
          <w:szCs w:val="21"/>
        </w:rPr>
      </w:pPr>
      <w:r>
        <w:rPr>
          <w:rFonts w:hint="eastAsia" w:ascii="Times New Roman" w:hAnsi="Times New Roman" w:cs="Times New Roman"/>
          <w:color w:val="000000"/>
          <w:szCs w:val="21"/>
        </w:rPr>
        <w:t>Table 1. Different β in negative sample generation.</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2"/>
        <w:gridCol w:w="1351"/>
        <w:gridCol w:w="1351"/>
        <w:gridCol w:w="1351"/>
        <w:gridCol w:w="1508"/>
        <w:gridCol w:w="949"/>
        <w:gridCol w:w="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2" w:type="dxa"/>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β</w:t>
            </w:r>
          </w:p>
        </w:tc>
        <w:tc>
          <w:tcPr>
            <w:tcW w:w="1351" w:type="dxa"/>
          </w:tcPr>
          <w:p>
            <w:pPr>
              <w:jc w:val="center"/>
              <w:rPr>
                <w:rFonts w:hint="default"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lang w:val="en-US" w:eastAsia="zh-CN"/>
              </w:rPr>
              <w:t>adjacency information</w:t>
            </w:r>
          </w:p>
        </w:tc>
        <w:tc>
          <w:tcPr>
            <w:tcW w:w="1351" w:type="dxa"/>
          </w:tcPr>
          <w:p>
            <w:pPr>
              <w:jc w:val="center"/>
              <w:rPr>
                <w:rFonts w:hint="eastAsia"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lang w:val="en-US" w:eastAsia="zh-CN"/>
              </w:rPr>
              <w:t>topology information</w:t>
            </w:r>
          </w:p>
        </w:tc>
        <w:tc>
          <w:tcPr>
            <w:tcW w:w="1351" w:type="dxa"/>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Number of Positive Samples</w:t>
            </w:r>
          </w:p>
        </w:tc>
        <w:tc>
          <w:tcPr>
            <w:tcW w:w="1508" w:type="dxa"/>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Number of Negative Samples</w:t>
            </w:r>
          </w:p>
        </w:tc>
        <w:tc>
          <w:tcPr>
            <w:tcW w:w="949" w:type="dxa"/>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AUC</w:t>
            </w:r>
          </w:p>
        </w:tc>
        <w:tc>
          <w:tcPr>
            <w:tcW w:w="841" w:type="dxa"/>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AUPR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2" w:type="dxa"/>
          </w:tcPr>
          <w:p>
            <w:pPr>
              <w:jc w:val="center"/>
              <w:rPr>
                <w:rFonts w:ascii="Times New Roman" w:hAnsi="Times New Roman" w:cs="Times New Roman"/>
                <w:color w:val="000000"/>
                <w:sz w:val="21"/>
                <w:szCs w:val="21"/>
              </w:rPr>
            </w:pPr>
            <w:bookmarkStart w:id="2" w:name="OLE_LINK4" w:colFirst="5" w:colLast="6"/>
            <w:bookmarkStart w:id="4" w:name="_GoBack" w:colFirst="5" w:colLast="6"/>
            <w:r>
              <w:rPr>
                <w:rFonts w:ascii="Times New Roman" w:hAnsi="Times New Roman" w:cs="Times New Roman"/>
                <w:color w:val="000000"/>
                <w:sz w:val="21"/>
                <w:szCs w:val="21"/>
              </w:rPr>
              <w:t>0.25</w:t>
            </w:r>
          </w:p>
        </w:tc>
        <w:tc>
          <w:tcPr>
            <w:tcW w:w="1351" w:type="dxa"/>
          </w:tcPr>
          <w:p>
            <w:pPr>
              <w:jc w:val="center"/>
              <w:rPr>
                <w:rFonts w:ascii="Times New Roman" w:hAnsi="Times New Roman" w:cs="Times New Roman"/>
                <w:color w:val="000000"/>
                <w:sz w:val="21"/>
                <w:szCs w:val="21"/>
              </w:rPr>
            </w:pPr>
            <w:r>
              <w:rPr>
                <w:rFonts w:hint="default" w:ascii="Times New Roman" w:hAnsi="Times New Roman" w:cs="Times New Roman"/>
                <w:color w:val="000000"/>
                <w:sz w:val="21"/>
                <w:szCs w:val="21"/>
              </w:rPr>
              <w:t>√</w:t>
            </w:r>
          </w:p>
        </w:tc>
        <w:tc>
          <w:tcPr>
            <w:tcW w:w="1351" w:type="dxa"/>
          </w:tcPr>
          <w:p>
            <w:pPr>
              <w:jc w:val="center"/>
              <w:rPr>
                <w:rFonts w:ascii="Times New Roman" w:hAnsi="Times New Roman" w:cs="Times New Roman"/>
                <w:color w:val="000000"/>
                <w:sz w:val="21"/>
                <w:szCs w:val="21"/>
              </w:rPr>
            </w:pPr>
            <w:r>
              <w:rPr>
                <w:rFonts w:hint="default" w:ascii="Times New Roman" w:hAnsi="Times New Roman" w:cs="Times New Roman"/>
                <w:color w:val="000000"/>
                <w:sz w:val="21"/>
                <w:szCs w:val="21"/>
              </w:rPr>
              <w:t>√</w:t>
            </w:r>
          </w:p>
        </w:tc>
        <w:tc>
          <w:tcPr>
            <w:tcW w:w="1351" w:type="dxa"/>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2697</w:t>
            </w:r>
          </w:p>
        </w:tc>
        <w:tc>
          <w:tcPr>
            <w:tcW w:w="1508" w:type="dxa"/>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674</w:t>
            </w:r>
          </w:p>
        </w:tc>
        <w:tc>
          <w:tcPr>
            <w:tcW w:w="949" w:type="dxa"/>
            <w:vAlign w:val="top"/>
          </w:tcPr>
          <w:p>
            <w:pPr>
              <w:jc w:val="center"/>
              <w:rPr>
                <w:rFonts w:hint="default"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rPr>
              <w:t>0.</w:t>
            </w:r>
            <w:r>
              <w:rPr>
                <w:rFonts w:hint="eastAsia" w:ascii="Times New Roman" w:hAnsi="Times New Roman" w:cs="Times New Roman"/>
                <w:color w:val="000000"/>
                <w:sz w:val="21"/>
                <w:szCs w:val="21"/>
                <w:lang w:val="en-US" w:eastAsia="zh-CN"/>
              </w:rPr>
              <w:t>930</w:t>
            </w:r>
          </w:p>
        </w:tc>
        <w:tc>
          <w:tcPr>
            <w:tcW w:w="841" w:type="dxa"/>
            <w:vAlign w:val="top"/>
          </w:tcPr>
          <w:p>
            <w:pPr>
              <w:jc w:val="center"/>
              <w:rPr>
                <w:rFonts w:hint="default"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rPr>
              <w:t>0.</w:t>
            </w:r>
            <w:r>
              <w:rPr>
                <w:rFonts w:hint="eastAsia" w:ascii="Times New Roman" w:hAnsi="Times New Roman" w:cs="Times New Roman"/>
                <w:color w:val="000000"/>
                <w:sz w:val="21"/>
                <w:szCs w:val="21"/>
                <w:lang w:val="en-US" w:eastAsia="zh-CN"/>
              </w:rPr>
              <w:t>916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2" w:type="dxa"/>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0.5</w:t>
            </w:r>
          </w:p>
        </w:tc>
        <w:tc>
          <w:tcPr>
            <w:tcW w:w="1351" w:type="dxa"/>
          </w:tcPr>
          <w:p>
            <w:pPr>
              <w:jc w:val="center"/>
              <w:rPr>
                <w:rFonts w:ascii="Times New Roman" w:hAnsi="Times New Roman" w:cs="Times New Roman"/>
                <w:color w:val="000000"/>
                <w:sz w:val="21"/>
                <w:szCs w:val="21"/>
              </w:rPr>
            </w:pPr>
            <w:r>
              <w:rPr>
                <w:rFonts w:hint="default" w:ascii="Times New Roman" w:hAnsi="Times New Roman" w:cs="Times New Roman"/>
                <w:color w:val="000000"/>
                <w:sz w:val="21"/>
                <w:szCs w:val="21"/>
              </w:rPr>
              <w:t>√</w:t>
            </w:r>
          </w:p>
        </w:tc>
        <w:tc>
          <w:tcPr>
            <w:tcW w:w="1351" w:type="dxa"/>
          </w:tcPr>
          <w:p>
            <w:pPr>
              <w:jc w:val="center"/>
              <w:rPr>
                <w:rFonts w:ascii="Times New Roman" w:hAnsi="Times New Roman" w:cs="Times New Roman"/>
                <w:color w:val="000000"/>
                <w:sz w:val="21"/>
                <w:szCs w:val="21"/>
              </w:rPr>
            </w:pPr>
            <w:r>
              <w:rPr>
                <w:rFonts w:hint="default" w:ascii="Times New Roman" w:hAnsi="Times New Roman" w:cs="Times New Roman"/>
                <w:color w:val="000000"/>
                <w:sz w:val="21"/>
                <w:szCs w:val="21"/>
              </w:rPr>
              <w:t>√</w:t>
            </w:r>
          </w:p>
        </w:tc>
        <w:tc>
          <w:tcPr>
            <w:tcW w:w="1351" w:type="dxa"/>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2697</w:t>
            </w:r>
          </w:p>
        </w:tc>
        <w:tc>
          <w:tcPr>
            <w:tcW w:w="1508" w:type="dxa"/>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1348</w:t>
            </w:r>
          </w:p>
        </w:tc>
        <w:tc>
          <w:tcPr>
            <w:tcW w:w="949" w:type="dxa"/>
            <w:vAlign w:val="top"/>
          </w:tcPr>
          <w:p>
            <w:pPr>
              <w:jc w:val="center"/>
              <w:rPr>
                <w:rFonts w:ascii="Times New Roman" w:hAnsi="Times New Roman" w:cs="Times New Roman"/>
                <w:color w:val="000000"/>
                <w:sz w:val="21"/>
                <w:szCs w:val="21"/>
              </w:rPr>
            </w:pPr>
            <w:r>
              <w:rPr>
                <w:rFonts w:hint="eastAsia" w:ascii="Times New Roman" w:hAnsi="Times New Roman" w:cs="Times New Roman"/>
                <w:color w:val="000000"/>
                <w:sz w:val="21"/>
                <w:szCs w:val="21"/>
              </w:rPr>
              <w:t>0.9</w:t>
            </w:r>
            <w:r>
              <w:rPr>
                <w:rFonts w:hint="eastAsia" w:ascii="Times New Roman" w:hAnsi="Times New Roman" w:cs="Times New Roman"/>
                <w:color w:val="000000"/>
                <w:sz w:val="21"/>
                <w:szCs w:val="21"/>
                <w:lang w:val="en-US" w:eastAsia="zh-CN"/>
              </w:rPr>
              <w:t>52</w:t>
            </w:r>
          </w:p>
        </w:tc>
        <w:tc>
          <w:tcPr>
            <w:tcW w:w="841" w:type="dxa"/>
            <w:vAlign w:val="top"/>
          </w:tcPr>
          <w:p>
            <w:pPr>
              <w:jc w:val="center"/>
              <w:rPr>
                <w:rFonts w:hint="eastAsia" w:ascii="Times New Roman" w:hAnsi="Times New Roman" w:cs="Times New Roman"/>
                <w:color w:val="000000"/>
                <w:sz w:val="21"/>
                <w:szCs w:val="21"/>
                <w:lang w:eastAsia="zh-CN"/>
              </w:rPr>
            </w:pPr>
            <w:r>
              <w:rPr>
                <w:rFonts w:hint="eastAsia" w:ascii="Times New Roman" w:hAnsi="Times New Roman" w:cs="Times New Roman"/>
                <w:color w:val="000000"/>
                <w:sz w:val="21"/>
                <w:szCs w:val="21"/>
              </w:rPr>
              <w:t>0.</w:t>
            </w:r>
            <w:r>
              <w:rPr>
                <w:rFonts w:hint="eastAsia" w:ascii="Times New Roman" w:hAnsi="Times New Roman" w:cs="Times New Roman"/>
                <w:color w:val="000000"/>
                <w:sz w:val="21"/>
                <w:szCs w:val="21"/>
                <w:lang w:val="en-US" w:eastAsia="zh-CN"/>
              </w:rPr>
              <w:t>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2" w:type="dxa"/>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1.0</w:t>
            </w:r>
          </w:p>
        </w:tc>
        <w:tc>
          <w:tcPr>
            <w:tcW w:w="1351" w:type="dxa"/>
          </w:tcPr>
          <w:p>
            <w:pPr>
              <w:jc w:val="center"/>
              <w:rPr>
                <w:rFonts w:ascii="Times New Roman" w:hAnsi="Times New Roman" w:cs="Times New Roman"/>
                <w:color w:val="000000"/>
                <w:sz w:val="21"/>
                <w:szCs w:val="21"/>
              </w:rPr>
            </w:pPr>
            <w:r>
              <w:rPr>
                <w:rFonts w:hint="default" w:ascii="Times New Roman" w:hAnsi="Times New Roman" w:cs="Times New Roman"/>
                <w:color w:val="000000"/>
                <w:sz w:val="21"/>
                <w:szCs w:val="21"/>
              </w:rPr>
              <w:t>√</w:t>
            </w:r>
          </w:p>
        </w:tc>
        <w:tc>
          <w:tcPr>
            <w:tcW w:w="1351" w:type="dxa"/>
          </w:tcPr>
          <w:p>
            <w:pPr>
              <w:jc w:val="center"/>
              <w:rPr>
                <w:rFonts w:ascii="Times New Roman" w:hAnsi="Times New Roman" w:cs="Times New Roman"/>
                <w:color w:val="000000"/>
                <w:sz w:val="21"/>
                <w:szCs w:val="21"/>
              </w:rPr>
            </w:pPr>
            <w:r>
              <w:rPr>
                <w:rFonts w:hint="default" w:ascii="Times New Roman" w:hAnsi="Times New Roman" w:cs="Times New Roman"/>
                <w:color w:val="000000"/>
                <w:sz w:val="21"/>
                <w:szCs w:val="21"/>
              </w:rPr>
              <w:t>√</w:t>
            </w:r>
          </w:p>
        </w:tc>
        <w:tc>
          <w:tcPr>
            <w:tcW w:w="1351" w:type="dxa"/>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2697</w:t>
            </w:r>
          </w:p>
        </w:tc>
        <w:tc>
          <w:tcPr>
            <w:tcW w:w="1508" w:type="dxa"/>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2697</w:t>
            </w:r>
          </w:p>
        </w:tc>
        <w:tc>
          <w:tcPr>
            <w:tcW w:w="949" w:type="dxa"/>
            <w:vAlign w:val="top"/>
          </w:tcPr>
          <w:p>
            <w:pPr>
              <w:jc w:val="center"/>
              <w:rPr>
                <w:rFonts w:ascii="Times New Roman" w:hAnsi="Times New Roman" w:cs="Times New Roman"/>
                <w:color w:val="000000"/>
                <w:sz w:val="21"/>
                <w:szCs w:val="21"/>
              </w:rPr>
            </w:pPr>
            <w:r>
              <w:rPr>
                <w:rFonts w:hint="eastAsia" w:ascii="Times New Roman" w:hAnsi="Times New Roman" w:cs="Times New Roman"/>
                <w:color w:val="000000"/>
                <w:sz w:val="21"/>
                <w:szCs w:val="21"/>
              </w:rPr>
              <w:t xml:space="preserve">0.975 </w:t>
            </w:r>
          </w:p>
        </w:tc>
        <w:tc>
          <w:tcPr>
            <w:tcW w:w="841" w:type="dxa"/>
            <w:vAlign w:val="top"/>
          </w:tcPr>
          <w:p>
            <w:pPr>
              <w:jc w:val="center"/>
              <w:rPr>
                <w:rFonts w:ascii="Times New Roman" w:hAnsi="Times New Roman" w:cs="Times New Roman"/>
                <w:color w:val="000000"/>
                <w:sz w:val="21"/>
                <w:szCs w:val="21"/>
              </w:rPr>
            </w:pPr>
            <w:r>
              <w:rPr>
                <w:rFonts w:hint="eastAsia" w:ascii="Times New Roman" w:hAnsi="Times New Roman" w:cs="Times New Roman"/>
                <w:color w:val="000000"/>
                <w:sz w:val="21"/>
                <w:szCs w:val="21"/>
              </w:rPr>
              <w:t>0.971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2" w:type="dxa"/>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2.0</w:t>
            </w:r>
          </w:p>
        </w:tc>
        <w:tc>
          <w:tcPr>
            <w:tcW w:w="1351" w:type="dxa"/>
          </w:tcPr>
          <w:p>
            <w:pPr>
              <w:jc w:val="center"/>
              <w:rPr>
                <w:rFonts w:ascii="Times New Roman" w:hAnsi="Times New Roman" w:cs="Times New Roman"/>
                <w:color w:val="000000"/>
                <w:sz w:val="21"/>
                <w:szCs w:val="21"/>
              </w:rPr>
            </w:pPr>
            <w:r>
              <w:rPr>
                <w:rFonts w:hint="default" w:ascii="Times New Roman" w:hAnsi="Times New Roman" w:cs="Times New Roman"/>
                <w:color w:val="000000"/>
                <w:sz w:val="21"/>
                <w:szCs w:val="21"/>
              </w:rPr>
              <w:t>√</w:t>
            </w:r>
          </w:p>
        </w:tc>
        <w:tc>
          <w:tcPr>
            <w:tcW w:w="1351" w:type="dxa"/>
          </w:tcPr>
          <w:p>
            <w:pPr>
              <w:jc w:val="center"/>
              <w:rPr>
                <w:rFonts w:ascii="Times New Roman" w:hAnsi="Times New Roman" w:cs="Times New Roman"/>
                <w:color w:val="000000"/>
                <w:sz w:val="21"/>
                <w:szCs w:val="21"/>
              </w:rPr>
            </w:pPr>
            <w:r>
              <w:rPr>
                <w:rFonts w:hint="default" w:ascii="Times New Roman" w:hAnsi="Times New Roman" w:cs="Times New Roman"/>
                <w:color w:val="000000"/>
                <w:sz w:val="21"/>
                <w:szCs w:val="21"/>
              </w:rPr>
              <w:t>√</w:t>
            </w:r>
          </w:p>
        </w:tc>
        <w:tc>
          <w:tcPr>
            <w:tcW w:w="1351" w:type="dxa"/>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2697</w:t>
            </w:r>
          </w:p>
        </w:tc>
        <w:tc>
          <w:tcPr>
            <w:tcW w:w="1508" w:type="dxa"/>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5394</w:t>
            </w:r>
          </w:p>
        </w:tc>
        <w:tc>
          <w:tcPr>
            <w:tcW w:w="949" w:type="dxa"/>
            <w:vAlign w:val="top"/>
          </w:tcPr>
          <w:p>
            <w:pPr>
              <w:jc w:val="center"/>
              <w:rPr>
                <w:rFonts w:ascii="Times New Roman" w:hAnsi="Times New Roman" w:cs="Times New Roman"/>
                <w:color w:val="000000"/>
                <w:sz w:val="21"/>
                <w:szCs w:val="21"/>
              </w:rPr>
            </w:pPr>
            <w:r>
              <w:rPr>
                <w:rFonts w:hint="eastAsia" w:ascii="Times New Roman" w:hAnsi="Times New Roman" w:cs="Times New Roman"/>
                <w:color w:val="000000"/>
                <w:sz w:val="21"/>
                <w:szCs w:val="21"/>
              </w:rPr>
              <w:t>0.9</w:t>
            </w:r>
            <w:r>
              <w:rPr>
                <w:rFonts w:hint="eastAsia" w:ascii="Times New Roman" w:hAnsi="Times New Roman" w:cs="Times New Roman"/>
                <w:color w:val="000000"/>
                <w:sz w:val="21"/>
                <w:szCs w:val="21"/>
                <w:lang w:val="en-US" w:eastAsia="zh-CN"/>
              </w:rPr>
              <w:t>68</w:t>
            </w:r>
          </w:p>
        </w:tc>
        <w:tc>
          <w:tcPr>
            <w:tcW w:w="841" w:type="dxa"/>
            <w:vAlign w:val="top"/>
          </w:tcPr>
          <w:p>
            <w:pPr>
              <w:jc w:val="center"/>
              <w:rPr>
                <w:rFonts w:ascii="Times New Roman" w:hAnsi="Times New Roman" w:cs="Times New Roman"/>
                <w:color w:val="000000"/>
                <w:sz w:val="21"/>
                <w:szCs w:val="21"/>
              </w:rPr>
            </w:pPr>
            <w:r>
              <w:rPr>
                <w:rFonts w:hint="eastAsia" w:ascii="Times New Roman" w:hAnsi="Times New Roman" w:cs="Times New Roman"/>
                <w:color w:val="000000"/>
                <w:sz w:val="21"/>
                <w:szCs w:val="21"/>
              </w:rPr>
              <w:t>0.9</w:t>
            </w:r>
            <w:r>
              <w:rPr>
                <w:rFonts w:hint="eastAsia" w:ascii="Times New Roman" w:hAnsi="Times New Roman" w:cs="Times New Roman"/>
                <w:color w:val="000000"/>
                <w:sz w:val="21"/>
                <w:szCs w:val="21"/>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2" w:type="dxa"/>
            <w:tcBorders>
              <w:bottom w:val="single" w:color="auto" w:sz="4" w:space="0"/>
            </w:tcBorders>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4.0</w:t>
            </w:r>
          </w:p>
        </w:tc>
        <w:tc>
          <w:tcPr>
            <w:tcW w:w="1351" w:type="dxa"/>
            <w:tcBorders>
              <w:bottom w:val="single" w:color="auto" w:sz="4" w:space="0"/>
            </w:tcBorders>
          </w:tcPr>
          <w:p>
            <w:pPr>
              <w:jc w:val="center"/>
              <w:rPr>
                <w:rFonts w:ascii="Times New Roman" w:hAnsi="Times New Roman" w:cs="Times New Roman"/>
                <w:color w:val="000000"/>
                <w:sz w:val="21"/>
                <w:szCs w:val="21"/>
              </w:rPr>
            </w:pPr>
            <w:r>
              <w:rPr>
                <w:rFonts w:hint="default" w:ascii="Times New Roman" w:hAnsi="Times New Roman" w:cs="Times New Roman"/>
                <w:color w:val="000000"/>
                <w:sz w:val="21"/>
                <w:szCs w:val="21"/>
              </w:rPr>
              <w:t>√</w:t>
            </w:r>
          </w:p>
        </w:tc>
        <w:tc>
          <w:tcPr>
            <w:tcW w:w="1351" w:type="dxa"/>
            <w:tcBorders>
              <w:bottom w:val="single" w:color="auto" w:sz="4" w:space="0"/>
            </w:tcBorders>
          </w:tcPr>
          <w:p>
            <w:pPr>
              <w:jc w:val="center"/>
              <w:rPr>
                <w:rFonts w:ascii="Times New Roman" w:hAnsi="Times New Roman" w:cs="Times New Roman"/>
                <w:color w:val="000000"/>
                <w:sz w:val="21"/>
                <w:szCs w:val="21"/>
              </w:rPr>
            </w:pPr>
            <w:r>
              <w:rPr>
                <w:rFonts w:hint="default" w:ascii="Times New Roman" w:hAnsi="Times New Roman" w:cs="Times New Roman"/>
                <w:color w:val="000000"/>
                <w:sz w:val="21"/>
                <w:szCs w:val="21"/>
              </w:rPr>
              <w:t>√</w:t>
            </w:r>
          </w:p>
        </w:tc>
        <w:tc>
          <w:tcPr>
            <w:tcW w:w="1351" w:type="dxa"/>
            <w:tcBorders>
              <w:bottom w:val="single" w:color="auto" w:sz="4" w:space="0"/>
            </w:tcBorders>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2697</w:t>
            </w:r>
          </w:p>
        </w:tc>
        <w:tc>
          <w:tcPr>
            <w:tcW w:w="1508" w:type="dxa"/>
            <w:tcBorders>
              <w:bottom w:val="single" w:color="auto" w:sz="4" w:space="0"/>
            </w:tcBorders>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10788</w:t>
            </w:r>
          </w:p>
        </w:tc>
        <w:tc>
          <w:tcPr>
            <w:tcW w:w="949" w:type="dxa"/>
            <w:tcBorders>
              <w:bottom w:val="single" w:color="auto" w:sz="4" w:space="0"/>
            </w:tcBorders>
            <w:vAlign w:val="top"/>
          </w:tcPr>
          <w:p>
            <w:pPr>
              <w:jc w:val="center"/>
              <w:rPr>
                <w:rFonts w:ascii="Times New Roman" w:hAnsi="Times New Roman" w:cs="Times New Roman"/>
                <w:color w:val="000000"/>
                <w:sz w:val="21"/>
                <w:szCs w:val="21"/>
              </w:rPr>
            </w:pPr>
            <w:r>
              <w:rPr>
                <w:rFonts w:hint="eastAsia" w:ascii="Times New Roman" w:hAnsi="Times New Roman" w:cs="Times New Roman"/>
                <w:color w:val="000000"/>
                <w:sz w:val="21"/>
                <w:szCs w:val="21"/>
              </w:rPr>
              <w:t>0.9</w:t>
            </w:r>
            <w:r>
              <w:rPr>
                <w:rFonts w:hint="eastAsia" w:ascii="Times New Roman" w:hAnsi="Times New Roman" w:cs="Times New Roman"/>
                <w:color w:val="000000"/>
                <w:sz w:val="21"/>
                <w:szCs w:val="21"/>
                <w:lang w:val="en-US" w:eastAsia="zh-CN"/>
              </w:rPr>
              <w:t>71</w:t>
            </w:r>
          </w:p>
        </w:tc>
        <w:tc>
          <w:tcPr>
            <w:tcW w:w="841" w:type="dxa"/>
            <w:tcBorders>
              <w:bottom w:val="single" w:color="auto" w:sz="4" w:space="0"/>
            </w:tcBorders>
            <w:vAlign w:val="top"/>
          </w:tcPr>
          <w:p>
            <w:pPr>
              <w:jc w:val="center"/>
              <w:rPr>
                <w:rFonts w:hint="default"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rPr>
              <w:t>0.</w:t>
            </w:r>
            <w:r>
              <w:rPr>
                <w:rFonts w:hint="eastAsia" w:ascii="Times New Roman" w:hAnsi="Times New Roman" w:cs="Times New Roman"/>
                <w:color w:val="000000"/>
                <w:sz w:val="21"/>
                <w:szCs w:val="21"/>
                <w:lang w:val="en-US" w:eastAsia="zh-CN"/>
              </w:rPr>
              <w:t>951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2" w:type="dxa"/>
            <w:tcBorders>
              <w:top w:val="single" w:color="auto" w:sz="4" w:space="0"/>
            </w:tcBorders>
            <w:vAlign w:val="top"/>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0.25</w:t>
            </w:r>
          </w:p>
        </w:tc>
        <w:tc>
          <w:tcPr>
            <w:tcW w:w="1351" w:type="dxa"/>
            <w:tcBorders>
              <w:top w:val="single" w:color="auto" w:sz="4" w:space="0"/>
            </w:tcBorders>
          </w:tcPr>
          <w:p>
            <w:pPr>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w:t>
            </w:r>
          </w:p>
        </w:tc>
        <w:tc>
          <w:tcPr>
            <w:tcW w:w="1351" w:type="dxa"/>
            <w:tcBorders>
              <w:top w:val="single" w:color="auto" w:sz="4" w:space="0"/>
            </w:tcBorders>
          </w:tcPr>
          <w:p>
            <w:pPr>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w:t>
            </w:r>
          </w:p>
        </w:tc>
        <w:tc>
          <w:tcPr>
            <w:tcW w:w="1351" w:type="dxa"/>
            <w:tcBorders>
              <w:top w:val="single" w:color="auto" w:sz="4" w:space="0"/>
            </w:tcBorders>
            <w:vAlign w:val="top"/>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2697</w:t>
            </w:r>
          </w:p>
        </w:tc>
        <w:tc>
          <w:tcPr>
            <w:tcW w:w="1508" w:type="dxa"/>
            <w:tcBorders>
              <w:top w:val="single" w:color="auto" w:sz="4" w:space="0"/>
            </w:tcBorders>
            <w:vAlign w:val="top"/>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674</w:t>
            </w:r>
          </w:p>
        </w:tc>
        <w:tc>
          <w:tcPr>
            <w:tcW w:w="949" w:type="dxa"/>
            <w:tcBorders>
              <w:top w:val="single" w:color="auto" w:sz="4" w:space="0"/>
            </w:tcBorders>
            <w:vAlign w:val="top"/>
          </w:tcPr>
          <w:p>
            <w:pPr>
              <w:jc w:val="center"/>
              <w:rPr>
                <w:rFonts w:hint="default"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lang w:val="en-US" w:eastAsia="zh-CN"/>
              </w:rPr>
              <w:t>0.897</w:t>
            </w:r>
          </w:p>
        </w:tc>
        <w:tc>
          <w:tcPr>
            <w:tcW w:w="841" w:type="dxa"/>
            <w:tcBorders>
              <w:top w:val="single" w:color="auto" w:sz="4" w:space="0"/>
            </w:tcBorders>
            <w:vAlign w:val="top"/>
          </w:tcPr>
          <w:p>
            <w:pPr>
              <w:jc w:val="center"/>
              <w:rPr>
                <w:rFonts w:hint="default"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lang w:val="en-US" w:eastAsia="zh-CN"/>
              </w:rPr>
              <w:t>0.876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2" w:type="dxa"/>
            <w:vAlign w:val="top"/>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0.5</w:t>
            </w:r>
          </w:p>
        </w:tc>
        <w:tc>
          <w:tcPr>
            <w:tcW w:w="1351" w:type="dxa"/>
          </w:tcPr>
          <w:p>
            <w:pPr>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w:t>
            </w:r>
          </w:p>
        </w:tc>
        <w:tc>
          <w:tcPr>
            <w:tcW w:w="1351" w:type="dxa"/>
          </w:tcPr>
          <w:p>
            <w:pPr>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w:t>
            </w:r>
          </w:p>
        </w:tc>
        <w:tc>
          <w:tcPr>
            <w:tcW w:w="1351" w:type="dxa"/>
            <w:vAlign w:val="top"/>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2697</w:t>
            </w:r>
          </w:p>
        </w:tc>
        <w:tc>
          <w:tcPr>
            <w:tcW w:w="1508" w:type="dxa"/>
            <w:vAlign w:val="top"/>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1348</w:t>
            </w:r>
          </w:p>
        </w:tc>
        <w:tc>
          <w:tcPr>
            <w:tcW w:w="949" w:type="dxa"/>
            <w:vAlign w:val="top"/>
          </w:tcPr>
          <w:p>
            <w:pPr>
              <w:jc w:val="center"/>
              <w:rPr>
                <w:rFonts w:hint="default"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lang w:val="en-US" w:eastAsia="zh-CN"/>
              </w:rPr>
              <w:t>0.925</w:t>
            </w:r>
          </w:p>
        </w:tc>
        <w:tc>
          <w:tcPr>
            <w:tcW w:w="841" w:type="dxa"/>
            <w:vAlign w:val="top"/>
          </w:tcPr>
          <w:p>
            <w:pPr>
              <w:jc w:val="center"/>
              <w:rPr>
                <w:rFonts w:hint="default"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lang w:val="en-US" w:eastAsia="zh-CN"/>
              </w:rPr>
              <w:t>0.902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2" w:type="dxa"/>
            <w:vAlign w:val="top"/>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1.0</w:t>
            </w:r>
          </w:p>
        </w:tc>
        <w:tc>
          <w:tcPr>
            <w:tcW w:w="1351" w:type="dxa"/>
          </w:tcPr>
          <w:p>
            <w:pPr>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w:t>
            </w:r>
          </w:p>
        </w:tc>
        <w:tc>
          <w:tcPr>
            <w:tcW w:w="1351" w:type="dxa"/>
          </w:tcPr>
          <w:p>
            <w:pPr>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w:t>
            </w:r>
          </w:p>
        </w:tc>
        <w:tc>
          <w:tcPr>
            <w:tcW w:w="1351" w:type="dxa"/>
            <w:vAlign w:val="top"/>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2697</w:t>
            </w:r>
          </w:p>
        </w:tc>
        <w:tc>
          <w:tcPr>
            <w:tcW w:w="1508" w:type="dxa"/>
            <w:vAlign w:val="top"/>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2697</w:t>
            </w:r>
          </w:p>
        </w:tc>
        <w:tc>
          <w:tcPr>
            <w:tcW w:w="949" w:type="dxa"/>
            <w:vAlign w:val="top"/>
          </w:tcPr>
          <w:p>
            <w:pPr>
              <w:jc w:val="center"/>
              <w:rPr>
                <w:rFonts w:hint="default"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lang w:val="en-US" w:eastAsia="zh-CN"/>
              </w:rPr>
              <w:t>0.954</w:t>
            </w:r>
          </w:p>
        </w:tc>
        <w:tc>
          <w:tcPr>
            <w:tcW w:w="841" w:type="dxa"/>
            <w:vAlign w:val="top"/>
          </w:tcPr>
          <w:p>
            <w:pPr>
              <w:jc w:val="center"/>
              <w:rPr>
                <w:rFonts w:hint="default"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lang w:val="en-US" w:eastAsia="zh-CN"/>
              </w:rPr>
              <w:t>0.933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2" w:type="dxa"/>
            <w:vAlign w:val="top"/>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2.0</w:t>
            </w:r>
          </w:p>
        </w:tc>
        <w:tc>
          <w:tcPr>
            <w:tcW w:w="1351" w:type="dxa"/>
          </w:tcPr>
          <w:p>
            <w:pPr>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w:t>
            </w:r>
          </w:p>
        </w:tc>
        <w:tc>
          <w:tcPr>
            <w:tcW w:w="1351" w:type="dxa"/>
          </w:tcPr>
          <w:p>
            <w:pPr>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w:t>
            </w:r>
          </w:p>
        </w:tc>
        <w:tc>
          <w:tcPr>
            <w:tcW w:w="1351" w:type="dxa"/>
            <w:vAlign w:val="top"/>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2697</w:t>
            </w:r>
          </w:p>
        </w:tc>
        <w:tc>
          <w:tcPr>
            <w:tcW w:w="1508" w:type="dxa"/>
            <w:vAlign w:val="top"/>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5394</w:t>
            </w:r>
          </w:p>
        </w:tc>
        <w:tc>
          <w:tcPr>
            <w:tcW w:w="949" w:type="dxa"/>
            <w:vAlign w:val="top"/>
          </w:tcPr>
          <w:p>
            <w:pPr>
              <w:jc w:val="center"/>
              <w:rPr>
                <w:rFonts w:hint="default"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lang w:val="en-US" w:eastAsia="zh-CN"/>
              </w:rPr>
              <w:t>0.939</w:t>
            </w:r>
          </w:p>
        </w:tc>
        <w:tc>
          <w:tcPr>
            <w:tcW w:w="841" w:type="dxa"/>
            <w:vAlign w:val="top"/>
          </w:tcPr>
          <w:p>
            <w:pPr>
              <w:jc w:val="center"/>
              <w:rPr>
                <w:rFonts w:hint="default"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lang w:val="en-US" w:eastAsia="zh-CN"/>
              </w:rPr>
              <w:t>0.915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2" w:type="dxa"/>
            <w:vAlign w:val="top"/>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4.0</w:t>
            </w:r>
          </w:p>
        </w:tc>
        <w:tc>
          <w:tcPr>
            <w:tcW w:w="1351" w:type="dxa"/>
          </w:tcPr>
          <w:p>
            <w:pPr>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w:t>
            </w:r>
          </w:p>
        </w:tc>
        <w:tc>
          <w:tcPr>
            <w:tcW w:w="1351" w:type="dxa"/>
          </w:tcPr>
          <w:p>
            <w:pPr>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w:t>
            </w:r>
          </w:p>
        </w:tc>
        <w:tc>
          <w:tcPr>
            <w:tcW w:w="1351" w:type="dxa"/>
            <w:vAlign w:val="top"/>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2697</w:t>
            </w:r>
          </w:p>
        </w:tc>
        <w:tc>
          <w:tcPr>
            <w:tcW w:w="1508" w:type="dxa"/>
            <w:vAlign w:val="top"/>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10788</w:t>
            </w:r>
          </w:p>
        </w:tc>
        <w:tc>
          <w:tcPr>
            <w:tcW w:w="949" w:type="dxa"/>
            <w:vAlign w:val="top"/>
          </w:tcPr>
          <w:p>
            <w:pPr>
              <w:jc w:val="center"/>
              <w:rPr>
                <w:rFonts w:hint="default"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lang w:val="en-US" w:eastAsia="zh-CN"/>
              </w:rPr>
              <w:t>0.949</w:t>
            </w:r>
          </w:p>
        </w:tc>
        <w:tc>
          <w:tcPr>
            <w:tcW w:w="841" w:type="dxa"/>
            <w:vAlign w:val="top"/>
          </w:tcPr>
          <w:p>
            <w:pPr>
              <w:jc w:val="center"/>
              <w:rPr>
                <w:rFonts w:hint="default"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lang w:val="en-US" w:eastAsia="zh-CN"/>
              </w:rPr>
              <w:t>0.896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2" w:type="dxa"/>
            <w:vAlign w:val="top"/>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0.25</w:t>
            </w:r>
          </w:p>
        </w:tc>
        <w:tc>
          <w:tcPr>
            <w:tcW w:w="1351" w:type="dxa"/>
          </w:tcPr>
          <w:p>
            <w:pPr>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w:t>
            </w:r>
          </w:p>
        </w:tc>
        <w:tc>
          <w:tcPr>
            <w:tcW w:w="1351" w:type="dxa"/>
          </w:tcPr>
          <w:p>
            <w:pPr>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w:t>
            </w:r>
          </w:p>
        </w:tc>
        <w:tc>
          <w:tcPr>
            <w:tcW w:w="1351" w:type="dxa"/>
            <w:vAlign w:val="top"/>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2697</w:t>
            </w:r>
          </w:p>
        </w:tc>
        <w:tc>
          <w:tcPr>
            <w:tcW w:w="1508" w:type="dxa"/>
            <w:vAlign w:val="top"/>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674</w:t>
            </w:r>
          </w:p>
        </w:tc>
        <w:tc>
          <w:tcPr>
            <w:tcW w:w="949" w:type="dxa"/>
            <w:vAlign w:val="top"/>
          </w:tcPr>
          <w:p>
            <w:pPr>
              <w:jc w:val="center"/>
              <w:rPr>
                <w:rFonts w:hint="default" w:ascii="Times New Roman" w:hAnsi="Times New Roman" w:cs="Times New Roman"/>
                <w:color w:val="000000"/>
                <w:sz w:val="21"/>
                <w:szCs w:val="21"/>
                <w:lang w:val="en-US"/>
              </w:rPr>
            </w:pPr>
            <w:r>
              <w:rPr>
                <w:rFonts w:hint="eastAsia" w:ascii="Times New Roman" w:hAnsi="Times New Roman" w:cs="Times New Roman"/>
                <w:color w:val="000000"/>
                <w:sz w:val="21"/>
                <w:szCs w:val="21"/>
                <w:lang w:val="en-US" w:eastAsia="zh-CN"/>
              </w:rPr>
              <w:t>0.846</w:t>
            </w:r>
          </w:p>
        </w:tc>
        <w:tc>
          <w:tcPr>
            <w:tcW w:w="841" w:type="dxa"/>
            <w:vAlign w:val="top"/>
          </w:tcPr>
          <w:p>
            <w:pPr>
              <w:jc w:val="center"/>
              <w:rPr>
                <w:rFonts w:hint="default" w:ascii="Times New Roman" w:hAnsi="Times New Roman" w:cs="Times New Roman"/>
                <w:color w:val="000000"/>
                <w:sz w:val="21"/>
                <w:szCs w:val="21"/>
                <w:lang w:val="en-US"/>
              </w:rPr>
            </w:pPr>
            <w:r>
              <w:rPr>
                <w:rFonts w:hint="eastAsia" w:ascii="Times New Roman" w:hAnsi="Times New Roman" w:cs="Times New Roman"/>
                <w:color w:val="000000"/>
                <w:sz w:val="21"/>
                <w:szCs w:val="21"/>
                <w:lang w:val="en-US" w:eastAsia="zh-CN"/>
              </w:rPr>
              <w:t>0.815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2" w:type="dxa"/>
            <w:vAlign w:val="top"/>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0.5</w:t>
            </w:r>
          </w:p>
        </w:tc>
        <w:tc>
          <w:tcPr>
            <w:tcW w:w="1351" w:type="dxa"/>
          </w:tcPr>
          <w:p>
            <w:pPr>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w:t>
            </w:r>
          </w:p>
        </w:tc>
        <w:tc>
          <w:tcPr>
            <w:tcW w:w="1351" w:type="dxa"/>
          </w:tcPr>
          <w:p>
            <w:pPr>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w:t>
            </w:r>
          </w:p>
        </w:tc>
        <w:tc>
          <w:tcPr>
            <w:tcW w:w="1351" w:type="dxa"/>
            <w:vAlign w:val="top"/>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2697</w:t>
            </w:r>
          </w:p>
        </w:tc>
        <w:tc>
          <w:tcPr>
            <w:tcW w:w="1508" w:type="dxa"/>
            <w:vAlign w:val="top"/>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1348</w:t>
            </w:r>
          </w:p>
        </w:tc>
        <w:tc>
          <w:tcPr>
            <w:tcW w:w="949" w:type="dxa"/>
            <w:vAlign w:val="top"/>
          </w:tcPr>
          <w:p>
            <w:pPr>
              <w:jc w:val="center"/>
              <w:rPr>
                <w:rFonts w:hint="eastAsia"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0.875</w:t>
            </w:r>
          </w:p>
        </w:tc>
        <w:tc>
          <w:tcPr>
            <w:tcW w:w="841" w:type="dxa"/>
            <w:vAlign w:val="top"/>
          </w:tcPr>
          <w:p>
            <w:pPr>
              <w:jc w:val="center"/>
              <w:rPr>
                <w:rFonts w:hint="eastAsia"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0.853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2" w:type="dxa"/>
            <w:vAlign w:val="top"/>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1.0</w:t>
            </w:r>
          </w:p>
        </w:tc>
        <w:tc>
          <w:tcPr>
            <w:tcW w:w="1351" w:type="dxa"/>
          </w:tcPr>
          <w:p>
            <w:pPr>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w:t>
            </w:r>
          </w:p>
        </w:tc>
        <w:tc>
          <w:tcPr>
            <w:tcW w:w="1351" w:type="dxa"/>
          </w:tcPr>
          <w:p>
            <w:pPr>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w:t>
            </w:r>
          </w:p>
        </w:tc>
        <w:tc>
          <w:tcPr>
            <w:tcW w:w="1351" w:type="dxa"/>
            <w:vAlign w:val="top"/>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2697</w:t>
            </w:r>
          </w:p>
        </w:tc>
        <w:tc>
          <w:tcPr>
            <w:tcW w:w="1508" w:type="dxa"/>
            <w:vAlign w:val="top"/>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2697</w:t>
            </w:r>
          </w:p>
        </w:tc>
        <w:tc>
          <w:tcPr>
            <w:tcW w:w="949" w:type="dxa"/>
            <w:vAlign w:val="top"/>
          </w:tcPr>
          <w:p>
            <w:pPr>
              <w:jc w:val="center"/>
              <w:rPr>
                <w:rFonts w:hint="eastAsia"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0.912</w:t>
            </w:r>
          </w:p>
        </w:tc>
        <w:tc>
          <w:tcPr>
            <w:tcW w:w="841" w:type="dxa"/>
            <w:vAlign w:val="top"/>
          </w:tcPr>
          <w:p>
            <w:pPr>
              <w:jc w:val="center"/>
              <w:rPr>
                <w:rFonts w:hint="default" w:ascii="Times New Roman" w:hAnsi="Times New Roman" w:cs="Times New Roman"/>
                <w:color w:val="000000"/>
                <w:sz w:val="21"/>
                <w:szCs w:val="21"/>
                <w:lang w:val="en-US"/>
              </w:rPr>
            </w:pPr>
            <w:r>
              <w:rPr>
                <w:rFonts w:hint="eastAsia" w:ascii="Times New Roman" w:hAnsi="Times New Roman" w:cs="Times New Roman"/>
                <w:color w:val="000000"/>
                <w:sz w:val="21"/>
                <w:szCs w:val="21"/>
                <w:lang w:val="en-US" w:eastAsia="zh-CN"/>
              </w:rPr>
              <w:t>0.923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2" w:type="dxa"/>
            <w:vAlign w:val="top"/>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2.0</w:t>
            </w:r>
          </w:p>
        </w:tc>
        <w:tc>
          <w:tcPr>
            <w:tcW w:w="1351" w:type="dxa"/>
          </w:tcPr>
          <w:p>
            <w:pPr>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w:t>
            </w:r>
          </w:p>
        </w:tc>
        <w:tc>
          <w:tcPr>
            <w:tcW w:w="1351" w:type="dxa"/>
          </w:tcPr>
          <w:p>
            <w:pPr>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w:t>
            </w:r>
          </w:p>
        </w:tc>
        <w:tc>
          <w:tcPr>
            <w:tcW w:w="1351" w:type="dxa"/>
            <w:vAlign w:val="top"/>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2697</w:t>
            </w:r>
          </w:p>
        </w:tc>
        <w:tc>
          <w:tcPr>
            <w:tcW w:w="1508" w:type="dxa"/>
            <w:vAlign w:val="top"/>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5394</w:t>
            </w:r>
          </w:p>
        </w:tc>
        <w:tc>
          <w:tcPr>
            <w:tcW w:w="949" w:type="dxa"/>
            <w:vAlign w:val="top"/>
          </w:tcPr>
          <w:p>
            <w:pPr>
              <w:jc w:val="center"/>
              <w:rPr>
                <w:rFonts w:hint="default" w:ascii="Times New Roman" w:hAnsi="Times New Roman" w:cs="Times New Roman"/>
                <w:color w:val="000000"/>
                <w:sz w:val="21"/>
                <w:szCs w:val="21"/>
                <w:lang w:val="en-US"/>
              </w:rPr>
            </w:pPr>
            <w:r>
              <w:rPr>
                <w:rFonts w:hint="eastAsia" w:ascii="Times New Roman" w:hAnsi="Times New Roman" w:cs="Times New Roman"/>
                <w:color w:val="000000"/>
                <w:sz w:val="21"/>
                <w:szCs w:val="21"/>
                <w:lang w:val="en-US" w:eastAsia="zh-CN"/>
              </w:rPr>
              <w:t>0.891</w:t>
            </w:r>
          </w:p>
        </w:tc>
        <w:tc>
          <w:tcPr>
            <w:tcW w:w="841" w:type="dxa"/>
            <w:vAlign w:val="top"/>
          </w:tcPr>
          <w:p>
            <w:pPr>
              <w:jc w:val="center"/>
              <w:rPr>
                <w:rFonts w:hint="eastAsia"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0.871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2" w:type="dxa"/>
            <w:vAlign w:val="top"/>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4.0</w:t>
            </w:r>
          </w:p>
        </w:tc>
        <w:tc>
          <w:tcPr>
            <w:tcW w:w="1351" w:type="dxa"/>
          </w:tcPr>
          <w:p>
            <w:pPr>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w:t>
            </w:r>
          </w:p>
        </w:tc>
        <w:tc>
          <w:tcPr>
            <w:tcW w:w="1351" w:type="dxa"/>
          </w:tcPr>
          <w:p>
            <w:pPr>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w:t>
            </w:r>
          </w:p>
        </w:tc>
        <w:tc>
          <w:tcPr>
            <w:tcW w:w="1351" w:type="dxa"/>
            <w:vAlign w:val="top"/>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2697</w:t>
            </w:r>
          </w:p>
        </w:tc>
        <w:tc>
          <w:tcPr>
            <w:tcW w:w="1508" w:type="dxa"/>
            <w:vAlign w:val="top"/>
          </w:tcPr>
          <w:p>
            <w:pPr>
              <w:jc w:val="center"/>
              <w:rPr>
                <w:rFonts w:ascii="Times New Roman" w:hAnsi="Times New Roman" w:cs="Times New Roman"/>
                <w:color w:val="000000"/>
                <w:sz w:val="21"/>
                <w:szCs w:val="21"/>
              </w:rPr>
            </w:pPr>
            <w:r>
              <w:rPr>
                <w:rFonts w:ascii="Times New Roman" w:hAnsi="Times New Roman" w:cs="Times New Roman"/>
                <w:color w:val="000000"/>
                <w:sz w:val="21"/>
                <w:szCs w:val="21"/>
              </w:rPr>
              <w:t>10788</w:t>
            </w:r>
          </w:p>
        </w:tc>
        <w:tc>
          <w:tcPr>
            <w:tcW w:w="949" w:type="dxa"/>
            <w:vAlign w:val="top"/>
          </w:tcPr>
          <w:p>
            <w:pPr>
              <w:jc w:val="center"/>
              <w:rPr>
                <w:rFonts w:hint="default" w:ascii="Times New Roman" w:hAnsi="Times New Roman" w:cs="Times New Roman"/>
                <w:color w:val="000000"/>
                <w:sz w:val="21"/>
                <w:szCs w:val="21"/>
                <w:lang w:val="en-US"/>
              </w:rPr>
            </w:pPr>
            <w:r>
              <w:rPr>
                <w:rFonts w:hint="eastAsia" w:ascii="Times New Roman" w:hAnsi="Times New Roman" w:cs="Times New Roman"/>
                <w:color w:val="000000"/>
                <w:sz w:val="21"/>
                <w:szCs w:val="21"/>
                <w:lang w:val="en-US" w:eastAsia="zh-CN"/>
              </w:rPr>
              <w:t>0.887</w:t>
            </w:r>
          </w:p>
        </w:tc>
        <w:tc>
          <w:tcPr>
            <w:tcW w:w="841" w:type="dxa"/>
            <w:vAlign w:val="top"/>
          </w:tcPr>
          <w:p>
            <w:pPr>
              <w:jc w:val="center"/>
              <w:rPr>
                <w:rFonts w:hint="default" w:ascii="Times New Roman" w:hAnsi="Times New Roman" w:cs="Times New Roman"/>
                <w:color w:val="000000"/>
                <w:sz w:val="21"/>
                <w:szCs w:val="21"/>
                <w:lang w:val="en-US"/>
              </w:rPr>
            </w:pPr>
            <w:r>
              <w:rPr>
                <w:rFonts w:hint="eastAsia" w:ascii="Times New Roman" w:hAnsi="Times New Roman" w:cs="Times New Roman"/>
                <w:color w:val="000000"/>
                <w:sz w:val="21"/>
                <w:szCs w:val="21"/>
                <w:lang w:val="en-US" w:eastAsia="zh-CN"/>
              </w:rPr>
              <w:t>0.869</w:t>
            </w:r>
          </w:p>
        </w:tc>
      </w:tr>
      <w:bookmarkEnd w:id="4"/>
      <w:bookmarkEnd w:id="2"/>
    </w:tbl>
    <w:p>
      <w:pPr>
        <w:rPr>
          <w:rFonts w:ascii="Times New Roman" w:hAnsi="Times New Roman" w:cs="Times New Roman"/>
          <w:color w:val="000000"/>
          <w:szCs w:val="21"/>
        </w:rPr>
      </w:pPr>
    </w:p>
    <w:p>
      <w:pPr>
        <w:numPr>
          <w:ilvl w:val="0"/>
          <w:numId w:val="2"/>
        </w:numPr>
        <w:ind w:leftChars="0"/>
        <w:rPr>
          <w:rFonts w:hint="eastAsia"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Model complexity</w:t>
      </w:r>
    </w:p>
    <w:p>
      <w:pPr>
        <w:numPr>
          <w:ilvl w:val="0"/>
          <w:numId w:val="0"/>
        </w:numPr>
        <w:ind w:leftChars="0"/>
        <w:rPr>
          <w:rFonts w:hint="default" w:ascii="Times New Roman" w:hAnsi="Times New Roman" w:cs="Times New Roman"/>
          <w:color w:val="000000"/>
          <w:szCs w:val="21"/>
          <w:lang w:val="en-US" w:eastAsia="zh-CN"/>
        </w:rPr>
      </w:pPr>
      <w:bookmarkStart w:id="3" w:name="OLE_LINK3"/>
      <w:r>
        <w:rPr>
          <w:rFonts w:hint="default" w:ascii="Times New Roman" w:hAnsi="Times New Roman" w:cs="Times New Roman"/>
          <w:color w:val="000000"/>
          <w:szCs w:val="21"/>
          <w:lang w:val="en-US" w:eastAsia="zh-CN"/>
        </w:rPr>
        <w:t>The details of parameters for our model</w:t>
      </w:r>
      <w:r>
        <w:rPr>
          <w:rFonts w:hint="eastAsia" w:ascii="Times New Roman" w:hAnsi="Times New Roman" w:cs="Times New Roman"/>
          <w:color w:val="000000"/>
          <w:szCs w:val="21"/>
          <w:lang w:val="en-US" w:eastAsia="zh-CN"/>
        </w:rPr>
        <w:t xml:space="preserve"> as shown in Table 2.</w:t>
      </w:r>
      <w:bookmarkEnd w:id="3"/>
    </w:p>
    <w:p>
      <w:pPr>
        <w:numPr>
          <w:ilvl w:val="0"/>
          <w:numId w:val="0"/>
        </w:numPr>
        <w:ind w:leftChars="0"/>
        <w:jc w:val="center"/>
        <w:rPr>
          <w:rFonts w:hint="default"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Table 2 Hyper-parameters of DHNLDA</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ind w:leftChars="0"/>
              <w:rPr>
                <w:rFonts w:hint="default"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Name</w:t>
            </w:r>
          </w:p>
        </w:tc>
        <w:tc>
          <w:tcPr>
            <w:tcW w:w="4261" w:type="dxa"/>
          </w:tcPr>
          <w:p>
            <w:pPr>
              <w:numPr>
                <w:ilvl w:val="0"/>
                <w:numId w:val="0"/>
              </w:numPr>
              <w:ind w:leftChars="0"/>
              <w:rPr>
                <w:rFonts w:hint="default"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ind w:leftChars="0"/>
              <w:rPr>
                <w:rFonts w:hint="default"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Number of encoder layers (SAE)</w:t>
            </w:r>
          </w:p>
        </w:tc>
        <w:tc>
          <w:tcPr>
            <w:tcW w:w="4261" w:type="dxa"/>
          </w:tcPr>
          <w:p>
            <w:pPr>
              <w:numPr>
                <w:ilvl w:val="0"/>
                <w:numId w:val="0"/>
              </w:numPr>
              <w:ind w:leftChars="0"/>
              <w:rPr>
                <w:rFonts w:hint="default"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ind w:leftChars="0"/>
              <w:rPr>
                <w:rFonts w:hint="default"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Number of decoder layers (SAE)</w:t>
            </w:r>
          </w:p>
        </w:tc>
        <w:tc>
          <w:tcPr>
            <w:tcW w:w="4261" w:type="dxa"/>
          </w:tcPr>
          <w:p>
            <w:pPr>
              <w:numPr>
                <w:ilvl w:val="0"/>
                <w:numId w:val="0"/>
              </w:numPr>
              <w:ind w:leftChars="0"/>
              <w:rPr>
                <w:rFonts w:hint="default"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ind w:leftChars="0"/>
              <w:rPr>
                <w:rFonts w:hint="default"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Size of each layer in SAE</w:t>
            </w:r>
          </w:p>
        </w:tc>
        <w:tc>
          <w:tcPr>
            <w:tcW w:w="4261" w:type="dxa"/>
          </w:tcPr>
          <w:p>
            <w:pPr>
              <w:numPr>
                <w:ilvl w:val="0"/>
                <w:numId w:val="0"/>
              </w:numPr>
              <w:ind w:leftChars="0"/>
              <w:rPr>
                <w:rFonts w:hint="default"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128, 64, 32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ind w:leftChars="0"/>
              <w:rPr>
                <w:rFonts w:hint="eastAsia"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 xml:space="preserve">Kernel sizes of multi-scale CNN </w:t>
            </w:r>
          </w:p>
        </w:tc>
        <w:tc>
          <w:tcPr>
            <w:tcW w:w="4261" w:type="dxa"/>
          </w:tcPr>
          <w:p>
            <w:pPr>
              <w:numPr>
                <w:ilvl w:val="0"/>
                <w:numId w:val="0"/>
              </w:numPr>
              <w:ind w:leftChars="0"/>
              <w:rPr>
                <w:rFonts w:hint="eastAsia"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1, 3, 5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ind w:leftChars="0"/>
              <w:rPr>
                <w:rFonts w:hint="default"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Filters</w:t>
            </w:r>
          </w:p>
        </w:tc>
        <w:tc>
          <w:tcPr>
            <w:tcW w:w="4261" w:type="dxa"/>
          </w:tcPr>
          <w:p>
            <w:pPr>
              <w:numPr>
                <w:ilvl w:val="0"/>
                <w:numId w:val="0"/>
              </w:numPr>
              <w:ind w:leftChars="0"/>
              <w:rPr>
                <w:rFonts w:hint="default"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ind w:leftChars="0"/>
              <w:rPr>
                <w:rFonts w:hint="eastAsia"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Fully connected layers</w:t>
            </w:r>
          </w:p>
        </w:tc>
        <w:tc>
          <w:tcPr>
            <w:tcW w:w="4261" w:type="dxa"/>
          </w:tcPr>
          <w:p>
            <w:pPr>
              <w:numPr>
                <w:ilvl w:val="0"/>
                <w:numId w:val="0"/>
              </w:numPr>
              <w:ind w:leftChars="0"/>
              <w:rPr>
                <w:rFonts w:hint="default"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ind w:leftChars="0"/>
              <w:rPr>
                <w:rFonts w:hint="default"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Learning rate</w:t>
            </w:r>
          </w:p>
        </w:tc>
        <w:tc>
          <w:tcPr>
            <w:tcW w:w="4261" w:type="dxa"/>
          </w:tcPr>
          <w:p>
            <w:pPr>
              <w:numPr>
                <w:ilvl w:val="0"/>
                <w:numId w:val="0"/>
              </w:numPr>
              <w:ind w:leftChars="0"/>
              <w:rPr>
                <w:rFonts w:hint="default"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ind w:leftChars="0"/>
              <w:rPr>
                <w:rFonts w:hint="default"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Epoch</w:t>
            </w:r>
          </w:p>
        </w:tc>
        <w:tc>
          <w:tcPr>
            <w:tcW w:w="4261" w:type="dxa"/>
          </w:tcPr>
          <w:p>
            <w:pPr>
              <w:numPr>
                <w:ilvl w:val="0"/>
                <w:numId w:val="0"/>
              </w:numPr>
              <w:ind w:leftChars="0"/>
              <w:rPr>
                <w:rFonts w:hint="default"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ind w:leftChars="0"/>
              <w:rPr>
                <w:rFonts w:hint="default"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Batch Size</w:t>
            </w:r>
          </w:p>
        </w:tc>
        <w:tc>
          <w:tcPr>
            <w:tcW w:w="4261" w:type="dxa"/>
          </w:tcPr>
          <w:p>
            <w:pPr>
              <w:numPr>
                <w:ilvl w:val="0"/>
                <w:numId w:val="0"/>
              </w:numPr>
              <w:ind w:leftChars="0"/>
              <w:rPr>
                <w:rFonts w:hint="default"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ind w:leftChars="0"/>
              <w:rPr>
                <w:rFonts w:hint="default"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Dropout</w:t>
            </w:r>
          </w:p>
        </w:tc>
        <w:tc>
          <w:tcPr>
            <w:tcW w:w="4261" w:type="dxa"/>
          </w:tcPr>
          <w:p>
            <w:pPr>
              <w:numPr>
                <w:ilvl w:val="0"/>
                <w:numId w:val="0"/>
              </w:numPr>
              <w:ind w:leftChars="0"/>
              <w:rPr>
                <w:rFonts w:hint="default"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0.2</w:t>
            </w:r>
          </w:p>
        </w:tc>
      </w:tr>
    </w:tbl>
    <w:p>
      <w:pPr>
        <w:numPr>
          <w:ilvl w:val="0"/>
          <w:numId w:val="0"/>
        </w:numPr>
        <w:rPr>
          <w:rFonts w:hint="eastAsia" w:ascii="Times New Roman" w:hAnsi="Times New Roman" w:cs="Times New Roman"/>
          <w:sz w:val="24"/>
          <w:szCs w:val="24"/>
          <w:lang w:val="en-US" w:eastAsia="zh-CN"/>
        </w:rPr>
      </w:pPr>
    </w:p>
    <w:p>
      <w:pPr>
        <w:rPr>
          <w:rFonts w:ascii="Times New Roman" w:hAnsi="Times New Roman" w:cs="Times New Roman"/>
          <w:color w:val="000000"/>
          <w:szCs w:val="21"/>
        </w:rPr>
      </w:pPr>
      <w:r>
        <w:rPr>
          <w:rFonts w:hint="eastAsia" w:ascii="Times New Roman" w:hAnsi="Times New Roman" w:cs="Times New Roman"/>
          <w:color w:val="000000"/>
          <w:szCs w:val="21"/>
        </w:rPr>
        <w:t>Total params: 3021538</w:t>
      </w:r>
    </w:p>
    <w:p>
      <w:pPr>
        <w:rPr>
          <w:rFonts w:ascii="Times New Roman" w:hAnsi="Times New Roman" w:cs="Times New Roman"/>
          <w:color w:val="000000"/>
          <w:szCs w:val="21"/>
        </w:rPr>
      </w:pPr>
      <w:r>
        <w:rPr>
          <w:rFonts w:hint="eastAsia" w:ascii="Times New Roman" w:hAnsi="Times New Roman" w:cs="Times New Roman"/>
          <w:color w:val="000000"/>
          <w:szCs w:val="21"/>
        </w:rPr>
        <w:t>Trainable params: 3020258</w:t>
      </w:r>
    </w:p>
    <w:p>
      <w:pPr>
        <w:rPr>
          <w:rFonts w:ascii="Times New Roman" w:hAnsi="Times New Roman" w:cs="Times New Roman"/>
          <w:color w:val="000000"/>
          <w:szCs w:val="21"/>
        </w:rPr>
      </w:pPr>
      <w:r>
        <w:rPr>
          <w:rFonts w:hint="eastAsia" w:ascii="Times New Roman" w:hAnsi="Times New Roman" w:cs="Times New Roman"/>
          <w:color w:val="000000"/>
          <w:szCs w:val="21"/>
        </w:rPr>
        <w:t xml:space="preserve">In addition, the specific experimental parameter settings are </w:t>
      </w:r>
      <w:r>
        <w:rPr>
          <w:rFonts w:hint="eastAsia" w:ascii="Times New Roman" w:hAnsi="Times New Roman" w:cs="Times New Roman"/>
          <w:color w:val="000000"/>
          <w:szCs w:val="21"/>
          <w:lang w:val="en-US" w:eastAsia="zh-CN"/>
        </w:rPr>
        <w:t xml:space="preserve">shown </w:t>
      </w:r>
      <w:r>
        <w:rPr>
          <w:rFonts w:hint="eastAsia" w:ascii="Times New Roman" w:hAnsi="Times New Roman" w:cs="Times New Roman"/>
          <w:color w:val="000000"/>
          <w:szCs w:val="21"/>
        </w:rPr>
        <w:t>in section 4.1, page 5.</w:t>
      </w:r>
    </w:p>
    <w:p>
      <w:pPr>
        <w:numPr>
          <w:ilvl w:val="0"/>
          <w:numId w:val="0"/>
        </w:numPr>
        <w:ind w:leftChars="0"/>
        <w:rPr>
          <w:rFonts w:hint="eastAsia"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In the model design, the experiment sets the dropout for each layer of the network and randomly eliminates some network nodes to simplify the model and to avoid the problem of overfitting. In the model training, the early stop strategy is adopted to prevent the influence of overfitting by limiting the number of iterations. The loss of the experiment is shown in Figure 2.</w:t>
      </w:r>
    </w:p>
    <w:p>
      <w:pPr>
        <w:numPr>
          <w:ilvl w:val="0"/>
          <w:numId w:val="0"/>
        </w:numPr>
        <w:jc w:val="center"/>
        <w:rPr>
          <w:rFonts w:hint="default" w:ascii="Times New Roman" w:hAnsi="Times New Roman" w:cs="Times New Roman"/>
          <w:color w:val="000000"/>
          <w:szCs w:val="21"/>
          <w:lang w:val="en-US" w:eastAsia="zh-CN"/>
        </w:rPr>
      </w:pPr>
      <w:r>
        <w:rPr>
          <w:rFonts w:hint="default" w:ascii="Times New Roman" w:hAnsi="Times New Roman" w:cs="Times New Roman"/>
          <w:color w:val="000000"/>
          <w:szCs w:val="21"/>
          <w:lang w:val="en-US" w:eastAsia="zh-CN"/>
        </w:rPr>
        <w:drawing>
          <wp:inline distT="0" distB="0" distL="114300" distR="114300">
            <wp:extent cx="2874010" cy="2155825"/>
            <wp:effectExtent l="0" t="0" r="6350" b="8255"/>
            <wp:docPr id="1" name="图片 1" descr="Figure_1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igure_1优"/>
                    <pic:cNvPicPr>
                      <a:picLocks noChangeAspect="1"/>
                    </pic:cNvPicPr>
                  </pic:nvPicPr>
                  <pic:blipFill>
                    <a:blip r:embed="rId5"/>
                    <a:stretch>
                      <a:fillRect/>
                    </a:stretch>
                  </pic:blipFill>
                  <pic:spPr>
                    <a:xfrm>
                      <a:off x="0" y="0"/>
                      <a:ext cx="2874010" cy="2155825"/>
                    </a:xfrm>
                    <a:prstGeom prst="rect">
                      <a:avLst/>
                    </a:prstGeom>
                  </pic:spPr>
                </pic:pic>
              </a:graphicData>
            </a:graphic>
          </wp:inline>
        </w:drawing>
      </w:r>
    </w:p>
    <w:p>
      <w:pPr>
        <w:numPr>
          <w:ilvl w:val="0"/>
          <w:numId w:val="0"/>
        </w:numPr>
        <w:jc w:val="center"/>
        <w:rPr>
          <w:rFonts w:hint="default" w:eastAsiaTheme="minorEastAsia"/>
          <w:lang w:val="en-US" w:eastAsia="zh-CN"/>
        </w:rPr>
      </w:pPr>
      <w:r>
        <w:rPr>
          <w:rFonts w:hint="eastAsia"/>
          <w:lang w:val="en-US" w:eastAsia="zh-CN"/>
        </w:rPr>
        <w:t>Figure 2. The loss curves of the model.</w:t>
      </w:r>
    </w:p>
    <w:p>
      <w:pPr>
        <w:numPr>
          <w:ilvl w:val="0"/>
          <w:numId w:val="0"/>
        </w:numPr>
        <w:jc w:val="left"/>
        <w:rPr>
          <w:rFonts w:hint="default" w:ascii="Times New Roman" w:hAnsi="Times New Roman" w:cs="Times New Roman"/>
          <w:color w:val="000000"/>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341AE2"/>
    <w:multiLevelType w:val="singleLevel"/>
    <w:tmpl w:val="A4341AE2"/>
    <w:lvl w:ilvl="0" w:tentative="0">
      <w:start w:val="1"/>
      <w:numFmt w:val="decimal"/>
      <w:suff w:val="space"/>
      <w:lvlText w:val="%1."/>
      <w:lvlJc w:val="left"/>
    </w:lvl>
  </w:abstractNum>
  <w:abstractNum w:abstractNumId="1">
    <w:nsid w:val="26E32ABD"/>
    <w:multiLevelType w:val="singleLevel"/>
    <w:tmpl w:val="26E32ABD"/>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F819D3"/>
    <w:rsid w:val="01720356"/>
    <w:rsid w:val="049E497B"/>
    <w:rsid w:val="05E71FF2"/>
    <w:rsid w:val="0A454172"/>
    <w:rsid w:val="0AB84FAC"/>
    <w:rsid w:val="0B736962"/>
    <w:rsid w:val="118B3821"/>
    <w:rsid w:val="152A574A"/>
    <w:rsid w:val="182C243C"/>
    <w:rsid w:val="18403682"/>
    <w:rsid w:val="1943098B"/>
    <w:rsid w:val="19CF6BD2"/>
    <w:rsid w:val="1A4F5C9B"/>
    <w:rsid w:val="1A847095"/>
    <w:rsid w:val="1E462C52"/>
    <w:rsid w:val="203C53F4"/>
    <w:rsid w:val="20F64D1D"/>
    <w:rsid w:val="21270895"/>
    <w:rsid w:val="23632AD0"/>
    <w:rsid w:val="25C35470"/>
    <w:rsid w:val="26342A87"/>
    <w:rsid w:val="27043D16"/>
    <w:rsid w:val="27D128A4"/>
    <w:rsid w:val="282934D6"/>
    <w:rsid w:val="289B1376"/>
    <w:rsid w:val="28F819D3"/>
    <w:rsid w:val="29052D39"/>
    <w:rsid w:val="2A0E5AFB"/>
    <w:rsid w:val="2A240CC9"/>
    <w:rsid w:val="2E302E43"/>
    <w:rsid w:val="2EEC69A2"/>
    <w:rsid w:val="2EF11D46"/>
    <w:rsid w:val="307911AA"/>
    <w:rsid w:val="341142F8"/>
    <w:rsid w:val="345563A7"/>
    <w:rsid w:val="35574E41"/>
    <w:rsid w:val="361E67D8"/>
    <w:rsid w:val="362E64A8"/>
    <w:rsid w:val="372C362E"/>
    <w:rsid w:val="398C76CA"/>
    <w:rsid w:val="39E02C12"/>
    <w:rsid w:val="3A525579"/>
    <w:rsid w:val="3C2224AF"/>
    <w:rsid w:val="3C7D4AA1"/>
    <w:rsid w:val="3E3A69CC"/>
    <w:rsid w:val="44026C3A"/>
    <w:rsid w:val="444A1416"/>
    <w:rsid w:val="447B3682"/>
    <w:rsid w:val="47C37CAA"/>
    <w:rsid w:val="489C3039"/>
    <w:rsid w:val="4C5352EF"/>
    <w:rsid w:val="5D1F7AAD"/>
    <w:rsid w:val="5D5F71DD"/>
    <w:rsid w:val="5F6C53DC"/>
    <w:rsid w:val="5F7249C6"/>
    <w:rsid w:val="61981037"/>
    <w:rsid w:val="624B617D"/>
    <w:rsid w:val="624C6586"/>
    <w:rsid w:val="6C0606BB"/>
    <w:rsid w:val="6D3D371F"/>
    <w:rsid w:val="6E142809"/>
    <w:rsid w:val="6E2E0A69"/>
    <w:rsid w:val="6FE52F5F"/>
    <w:rsid w:val="6FF547DC"/>
    <w:rsid w:val="6FFB4640"/>
    <w:rsid w:val="703459D8"/>
    <w:rsid w:val="70EB37B2"/>
    <w:rsid w:val="74881D11"/>
    <w:rsid w:val="75EE2294"/>
    <w:rsid w:val="77BD3A9A"/>
    <w:rsid w:val="792A14E1"/>
    <w:rsid w:val="793A57A2"/>
    <w:rsid w:val="797F0A06"/>
    <w:rsid w:val="7A8E0361"/>
    <w:rsid w:val="7F023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2021-06-02T12:04:00Z</dcterms:created>
  <dc:creator>Mr.森</dc:creator>
  <cp:lastModifiedBy>Mr.森</cp:lastModifiedBy>
  <dcterms:modified xsi:type="dcterms:W3CDTF">2021-06-22T02:33:00Z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6B1203278F974A069CE92E8F165B748B</vt:lpwstr>
  </property>
</Properties>
</file>