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646464"/>
          <w:sz w:val="18"/>
        </w:rPr>
        <w:t>证券研究报告</w:t>
      </w:r>
    </w:p>
    <w:p>
      <w:pPr>
        <w:jc w:val="center"/>
      </w:pPr>
      <w:r>
        <w:rPr>
          <w:rFonts w:ascii="SimHei" w:hAnsi="SimHei" w:eastAsia="SimHei"/>
          <w:b/>
          <w:sz w:val="36"/>
        </w:rPr>
        <w:t>贵州茅台（600519.SH）</w:t>
      </w:r>
    </w:p>
    <w:p>
      <w:pPr>
        <w:jc w:val="center"/>
      </w:pPr>
      <w:r>
        <w:rPr>
          <w:rFonts w:ascii="SimHei" w:hAnsi="SimHei" w:eastAsia="SimHei"/>
          <w:b/>
          <w:color w:val="1F4E79"/>
          <w:sz w:val="28"/>
        </w:rPr>
        <w:t>2025年年报点评：稳步出清，改革破局，静待花开</w:t>
      </w:r>
    </w:p>
    <w:p>
      <w:pPr>
        <w:jc w:val="center"/>
      </w:pPr>
      <w:r>
        <w:rPr>
          <w:b w:val="0"/>
          <w:color w:val="808080"/>
          <w:sz w:val="20"/>
        </w:rPr>
        <w:t>业绩低于预期 | 市场化改革开启新征程 | 维持跑赢行业</w:t>
      </w:r>
    </w:p>
    <w:tbl>
      <w:tblPr>
        <w:tblW w:type="auto" w:w="0"/>
        <w:jc w:val="center"/>
        <w:tblLook w:firstColumn="1" w:firstRow="1" w:lastColumn="0" w:lastRow="0" w:noHBand="0" w:noVBand="1" w:val="04A0"/>
      </w:tblPr>
      <w:tblGrid>
        <w:gridCol w:w="1729"/>
        <w:gridCol w:w="1729"/>
        <w:gridCol w:w="1729"/>
        <w:gridCol w:w="1729"/>
        <w:gridCol w:w="1729"/>
      </w:tblGrid>
      <w:tr>
        <w:tc>
          <w:tcPr>
            <w:tcW w:type="dxa" w:w="1729"/>
            <w:shd w:fill="D6E4F0" w:val="clear"/>
          </w:tcPr>
          <w:p>
            <w:pPr>
              <w:jc w:val="center"/>
            </w:pPr>
            <w:r/>
            <w:r>
              <w:rPr>
                <w:rFonts w:ascii="SimSun" w:hAnsi="SimSun" w:eastAsia="SimSun"/>
                <w:sz w:val="18"/>
              </w:rPr>
              <w:t>评级</w:t>
            </w:r>
            <w:r>
              <w:rPr>
                <w:rFonts w:ascii="SimSun" w:hAnsi="SimSun" w:eastAsia="SimSun"/>
                <w:b/>
                <w:sz w:val="18"/>
              </w:rPr>
              <w:t>跑赢行业(维持)</w:t>
            </w:r>
          </w:p>
        </w:tc>
        <w:tc>
          <w:tcPr>
            <w:tcW w:type="dxa" w:w="1729"/>
            <w:shd w:fill="D6E4F0" w:val="clear"/>
          </w:tcPr>
          <w:p>
            <w:pPr>
              <w:jc w:val="center"/>
            </w:pPr>
            <w:r/>
            <w:r>
              <w:rPr>
                <w:rFonts w:ascii="SimSun" w:hAnsi="SimSun" w:eastAsia="SimSun"/>
                <w:sz w:val="18"/>
              </w:rPr>
              <w:t>目标价</w:t>
            </w:r>
            <w:r>
              <w:rPr>
                <w:rFonts w:ascii="SimSun" w:hAnsi="SimSun" w:eastAsia="SimSun"/>
                <w:b/>
                <w:sz w:val="18"/>
              </w:rPr>
              <w:t>RMB 1,671</w:t>
            </w:r>
          </w:p>
        </w:tc>
        <w:tc>
          <w:tcPr>
            <w:tcW w:type="dxa" w:w="1729"/>
            <w:shd w:fill="D6E4F0" w:val="clear"/>
          </w:tcPr>
          <w:p>
            <w:pPr>
              <w:jc w:val="center"/>
            </w:pPr>
            <w:r/>
            <w:r>
              <w:rPr>
                <w:rFonts w:ascii="SimSun" w:hAnsi="SimSun" w:eastAsia="SimSun"/>
                <w:sz w:val="18"/>
              </w:rPr>
              <w:t>当前股价(06/05)</w:t>
            </w:r>
            <w:r>
              <w:rPr>
                <w:rFonts w:ascii="SimSun" w:hAnsi="SimSun" w:eastAsia="SimSun"/>
                <w:b/>
                <w:sz w:val="18"/>
              </w:rPr>
              <w:t>RMB 1,272-1,310</w:t>
            </w:r>
          </w:p>
        </w:tc>
        <w:tc>
          <w:tcPr>
            <w:tcW w:type="dxa" w:w="1729"/>
            <w:shd w:fill="D6E4F0" w:val="clear"/>
          </w:tcPr>
          <w:p>
            <w:pPr>
              <w:jc w:val="center"/>
            </w:pPr>
            <w:r/>
            <w:r>
              <w:rPr>
                <w:rFonts w:ascii="SimSun" w:hAnsi="SimSun" w:eastAsia="SimSun"/>
                <w:sz w:val="18"/>
              </w:rPr>
              <w:t>潜在升幅</w:t>
            </w:r>
            <w:r>
              <w:rPr>
                <w:rFonts w:ascii="SimSun" w:hAnsi="SimSun" w:eastAsia="SimSun"/>
                <w:b/>
                <w:sz w:val="18"/>
              </w:rPr>
              <w:t>约27-31%</w:t>
            </w:r>
          </w:p>
        </w:tc>
        <w:tc>
          <w:tcPr>
            <w:tcW w:type="dxa" w:w="1729"/>
            <w:shd w:fill="D6E4F0" w:val="clear"/>
          </w:tcPr>
          <w:p>
            <w:pPr>
              <w:jc w:val="center"/>
            </w:pPr>
            <w:r/>
            <w:r>
              <w:rPr>
                <w:rFonts w:ascii="SimSun" w:hAnsi="SimSun" w:eastAsia="SimSun"/>
                <w:sz w:val="18"/>
              </w:rPr>
              <w:t>行业</w:t>
            </w:r>
            <w:r>
              <w:rPr>
                <w:rFonts w:ascii="SimSun" w:hAnsi="SimSun" w:eastAsia="SimSun"/>
                <w:b/>
                <w:sz w:val="18"/>
              </w:rPr>
              <w:t>食品饮料/白酒</w:t>
            </w:r>
          </w:p>
        </w:tc>
      </w:tr>
    </w:tbl>
    <w:p/>
    <w:p>
      <w:pPr>
        <w:pStyle w:val="Heading2"/>
      </w:pPr>
      <w:r>
        <w:rPr>
          <w:rFonts w:ascii="SimHei" w:hAnsi="SimHei" w:eastAsia="SimHei"/>
        </w:rPr>
        <w:t>一、业绩概览：上市以来首次双降，主动出清蓄力未来</w:t>
      </w:r>
    </w:p>
    <w:p>
      <w:pPr>
        <w:ind w:firstLine="420"/>
      </w:pPr>
      <w:r>
        <w:rPr>
          <w:b w:val="0"/>
        </w:rPr>
        <w:t>贵州茅台发布2025年年报，全年实现营业总收入1,720.54亿元（其中营业收入1,688.38亿元），同比下滑1.21%；归母净利润823.20亿元，同比下滑4.53%。</w:t>
      </w:r>
      <w:r>
        <w:rPr>
          <w:b/>
        </w:rPr>
        <w:t>这是公司自2001年上市以来首次出现年度营收与净利润双双下滑，但整体符合市场预期——公司在2025年下半年主动控货去库存、为渠道减压，短期业绩承压在情理之中。</w:t>
      </w:r>
    </w:p>
    <w:p>
      <w:pPr>
        <w:ind w:firstLine="420"/>
      </w:pPr>
      <w:r>
        <w:rPr>
          <w:b w:val="0"/>
        </w:rPr>
        <w:t>2026年一季度，公司实现营业总收入547.03亿元，同比增长6.34%；归母净利润272.43亿元，同比增长1.47%。营收重回正增长区间，利润增速略低于预期，主要受产品结构下移、非标酒降价影响。</w:t>
      </w:r>
    </w:p>
    <w:p/>
    <w:p>
      <w:r>
        <w:rPr>
          <w:b/>
          <w:sz w:val="20"/>
        </w:rPr>
        <w:t>表1：2025年全年及2026Q1核心业绩一览</w:t>
      </w:r>
    </w:p>
    <w:tbl>
      <w:tblPr>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shd w:fill="1F4E79" w:val="clear"/>
          </w:tcPr>
          <w:p>
            <w:pPr>
              <w:jc w:val="center"/>
            </w:pPr>
            <w:r/>
            <w:r>
              <w:rPr>
                <w:rFonts w:ascii="SimHei" w:hAnsi="SimHei" w:eastAsia="SimHei"/>
                <w:b/>
                <w:color w:val="FFFFFF"/>
                <w:sz w:val="18"/>
              </w:rPr>
              <w:t>项目</w:t>
            </w:r>
          </w:p>
        </w:tc>
        <w:tc>
          <w:tcPr>
            <w:tcW w:type="dxa" w:w="1235"/>
            <w:shd w:fill="1F4E79" w:val="clear"/>
          </w:tcPr>
          <w:p>
            <w:pPr>
              <w:jc w:val="center"/>
            </w:pPr>
            <w:r/>
            <w:r>
              <w:rPr>
                <w:rFonts w:ascii="SimHei" w:hAnsi="SimHei" w:eastAsia="SimHei"/>
                <w:b/>
                <w:color w:val="FFFFFF"/>
                <w:sz w:val="18"/>
              </w:rPr>
              <w:t>2025全年</w:t>
            </w:r>
          </w:p>
        </w:tc>
        <w:tc>
          <w:tcPr>
            <w:tcW w:type="dxa" w:w="1235"/>
            <w:shd w:fill="1F4E79" w:val="clear"/>
          </w:tcPr>
          <w:p>
            <w:pPr>
              <w:jc w:val="center"/>
            </w:pPr>
            <w:r/>
            <w:r>
              <w:rPr>
                <w:rFonts w:ascii="SimHei" w:hAnsi="SimHei" w:eastAsia="SimHei"/>
                <w:b/>
                <w:color w:val="FFFFFF"/>
                <w:sz w:val="18"/>
              </w:rPr>
              <w:t>同比</w:t>
            </w:r>
          </w:p>
        </w:tc>
        <w:tc>
          <w:tcPr>
            <w:tcW w:type="dxa" w:w="1235"/>
            <w:shd w:fill="1F4E79" w:val="clear"/>
          </w:tcPr>
          <w:p>
            <w:pPr>
              <w:jc w:val="center"/>
            </w:pPr>
            <w:r/>
            <w:r>
              <w:rPr>
                <w:rFonts w:ascii="SimHei" w:hAnsi="SimHei" w:eastAsia="SimHei"/>
                <w:b/>
                <w:color w:val="FFFFFF"/>
                <w:sz w:val="18"/>
              </w:rPr>
              <w:t>2024全年</w:t>
            </w:r>
          </w:p>
        </w:tc>
        <w:tc>
          <w:tcPr>
            <w:tcW w:type="dxa" w:w="1235"/>
            <w:shd w:fill="1F4E79" w:val="clear"/>
          </w:tcPr>
          <w:p>
            <w:pPr>
              <w:jc w:val="center"/>
            </w:pPr>
            <w:r/>
            <w:r>
              <w:rPr>
                <w:rFonts w:ascii="SimHei" w:hAnsi="SimHei" w:eastAsia="SimHei"/>
                <w:b/>
                <w:color w:val="FFFFFF"/>
                <w:sz w:val="18"/>
              </w:rPr>
              <w:t>2026Q1</w:t>
            </w:r>
          </w:p>
        </w:tc>
        <w:tc>
          <w:tcPr>
            <w:tcW w:type="dxa" w:w="1235"/>
            <w:shd w:fill="1F4E79" w:val="clear"/>
          </w:tcPr>
          <w:p>
            <w:pPr>
              <w:jc w:val="center"/>
            </w:pPr>
            <w:r/>
            <w:r>
              <w:rPr>
                <w:rFonts w:ascii="SimHei" w:hAnsi="SimHei" w:eastAsia="SimHei"/>
                <w:b/>
                <w:color w:val="FFFFFF"/>
                <w:sz w:val="18"/>
              </w:rPr>
              <w:t>同比</w:t>
            </w:r>
          </w:p>
        </w:tc>
        <w:tc>
          <w:tcPr>
            <w:tcW w:type="dxa" w:w="1235"/>
            <w:shd w:fill="1F4E79" w:val="clear"/>
          </w:tcPr>
          <w:p>
            <w:pPr>
              <w:jc w:val="center"/>
            </w:pPr>
            <w:r/>
            <w:r>
              <w:rPr>
                <w:rFonts w:ascii="SimHei" w:hAnsi="SimHei" w:eastAsia="SimHei"/>
                <w:b/>
                <w:color w:val="FFFFFF"/>
                <w:sz w:val="18"/>
              </w:rPr>
              <w:t>2025Q1</w:t>
            </w:r>
          </w:p>
        </w:tc>
      </w:tr>
      <w:tr>
        <w:tc>
          <w:tcPr>
            <w:tcW w:type="dxa" w:w="1235"/>
          </w:tcPr>
          <w:p>
            <w:pPr>
              <w:jc w:val="center"/>
            </w:pPr>
            <w:r/>
            <w:r>
              <w:rPr>
                <w:rFonts w:ascii="SimSun" w:hAnsi="SimSun" w:eastAsia="SimSun"/>
                <w:b w:val="0"/>
                <w:sz w:val="18"/>
              </w:rPr>
              <w:t>营业总收入（亿元）</w:t>
            </w:r>
          </w:p>
        </w:tc>
        <w:tc>
          <w:tcPr>
            <w:tcW w:type="dxa" w:w="1235"/>
          </w:tcPr>
          <w:p>
            <w:pPr>
              <w:jc w:val="center"/>
            </w:pPr>
            <w:r/>
            <w:r>
              <w:rPr>
                <w:rFonts w:ascii="SimSun" w:hAnsi="SimSun" w:eastAsia="SimSun"/>
                <w:b w:val="0"/>
                <w:sz w:val="18"/>
              </w:rPr>
              <w:t>1,720.54</w:t>
            </w:r>
          </w:p>
        </w:tc>
        <w:tc>
          <w:tcPr>
            <w:tcW w:type="dxa" w:w="1235"/>
          </w:tcPr>
          <w:p>
            <w:pPr>
              <w:jc w:val="center"/>
            </w:pPr>
            <w:r/>
            <w:r>
              <w:rPr>
                <w:rFonts w:ascii="SimSun" w:hAnsi="SimSun" w:eastAsia="SimSun"/>
                <w:b w:val="0"/>
                <w:sz w:val="18"/>
              </w:rPr>
              <w:t>-1.0%</w:t>
            </w:r>
          </w:p>
        </w:tc>
        <w:tc>
          <w:tcPr>
            <w:tcW w:type="dxa" w:w="1235"/>
          </w:tcPr>
          <w:p>
            <w:pPr>
              <w:jc w:val="center"/>
            </w:pPr>
            <w:r/>
            <w:r>
              <w:rPr>
                <w:rFonts w:ascii="SimSun" w:hAnsi="SimSun" w:eastAsia="SimSun"/>
                <w:b w:val="0"/>
                <w:sz w:val="18"/>
              </w:rPr>
              <w:t>1,737.30</w:t>
            </w:r>
          </w:p>
        </w:tc>
        <w:tc>
          <w:tcPr>
            <w:tcW w:type="dxa" w:w="1235"/>
          </w:tcPr>
          <w:p>
            <w:pPr>
              <w:jc w:val="center"/>
            </w:pPr>
            <w:r/>
            <w:r>
              <w:rPr>
                <w:rFonts w:ascii="SimSun" w:hAnsi="SimSun" w:eastAsia="SimSun"/>
                <w:b w:val="0"/>
                <w:sz w:val="18"/>
              </w:rPr>
              <w:t>547.03</w:t>
            </w:r>
          </w:p>
        </w:tc>
        <w:tc>
          <w:tcPr>
            <w:tcW w:type="dxa" w:w="1235"/>
          </w:tcPr>
          <w:p>
            <w:pPr>
              <w:jc w:val="center"/>
            </w:pPr>
            <w:r/>
            <w:r>
              <w:rPr>
                <w:rFonts w:ascii="SimSun" w:hAnsi="SimSun" w:eastAsia="SimSun"/>
                <w:b w:val="0"/>
                <w:sz w:val="18"/>
              </w:rPr>
              <w:t>+6.3%</w:t>
            </w:r>
          </w:p>
        </w:tc>
        <w:tc>
          <w:tcPr>
            <w:tcW w:type="dxa" w:w="1235"/>
          </w:tcPr>
          <w:p>
            <w:pPr>
              <w:jc w:val="center"/>
            </w:pPr>
            <w:r/>
            <w:r>
              <w:rPr>
                <w:rFonts w:ascii="SimSun" w:hAnsi="SimSun" w:eastAsia="SimSun"/>
                <w:b w:val="0"/>
                <w:sz w:val="18"/>
              </w:rPr>
              <w:t>500.61</w:t>
            </w:r>
          </w:p>
        </w:tc>
      </w:tr>
      <w:tr>
        <w:tc>
          <w:tcPr>
            <w:tcW w:type="dxa" w:w="1235"/>
          </w:tcPr>
          <w:p>
            <w:pPr>
              <w:jc w:val="center"/>
            </w:pPr>
            <w:r/>
            <w:r>
              <w:rPr>
                <w:rFonts w:ascii="SimSun" w:hAnsi="SimSun" w:eastAsia="SimSun"/>
                <w:b w:val="0"/>
                <w:sz w:val="18"/>
              </w:rPr>
              <w:t>营业收入（亿元）</w:t>
            </w:r>
          </w:p>
        </w:tc>
        <w:tc>
          <w:tcPr>
            <w:tcW w:type="dxa" w:w="1235"/>
          </w:tcPr>
          <w:p>
            <w:pPr>
              <w:jc w:val="center"/>
            </w:pPr>
            <w:r/>
            <w:r>
              <w:rPr>
                <w:rFonts w:ascii="SimSun" w:hAnsi="SimSun" w:eastAsia="SimSun"/>
                <w:b w:val="0"/>
                <w:sz w:val="18"/>
              </w:rPr>
              <w:t>1,688.38</w:t>
            </w:r>
          </w:p>
        </w:tc>
        <w:tc>
          <w:tcPr>
            <w:tcW w:type="dxa" w:w="1235"/>
          </w:tcPr>
          <w:p>
            <w:pPr>
              <w:jc w:val="center"/>
            </w:pPr>
            <w:r/>
            <w:r>
              <w:rPr>
                <w:rFonts w:ascii="SimSun" w:hAnsi="SimSun" w:eastAsia="SimSun"/>
                <w:b w:val="0"/>
                <w:sz w:val="18"/>
              </w:rPr>
              <w:t>-1.2%</w:t>
            </w:r>
          </w:p>
        </w:tc>
        <w:tc>
          <w:tcPr>
            <w:tcW w:type="dxa" w:w="1235"/>
          </w:tcPr>
          <w:p>
            <w:pPr>
              <w:jc w:val="center"/>
            </w:pPr>
            <w:r/>
            <w:r>
              <w:rPr>
                <w:rFonts w:ascii="SimSun" w:hAnsi="SimSun" w:eastAsia="SimSun"/>
                <w:b w:val="0"/>
                <w:sz w:val="18"/>
              </w:rPr>
              <w:t>1,709.19</w:t>
            </w:r>
          </w:p>
        </w:tc>
        <w:tc>
          <w:tcPr>
            <w:tcW w:type="dxa" w:w="1235"/>
          </w:tcPr>
          <w:p>
            <w:pPr>
              <w:jc w:val="center"/>
            </w:pPr>
            <w:r/>
            <w:r>
              <w:rPr>
                <w:rFonts w:ascii="SimSun" w:hAnsi="SimSun" w:eastAsia="SimSun"/>
                <w:b w:val="0"/>
                <w:sz w:val="18"/>
              </w:rPr>
              <w:t>539.00</w:t>
            </w:r>
          </w:p>
        </w:tc>
        <w:tc>
          <w:tcPr>
            <w:tcW w:type="dxa" w:w="1235"/>
          </w:tcPr>
          <w:p>
            <w:pPr>
              <w:jc w:val="center"/>
            </w:pPr>
            <w:r/>
            <w:r>
              <w:rPr>
                <w:rFonts w:ascii="SimSun" w:hAnsi="SimSun" w:eastAsia="SimSun"/>
                <w:b w:val="0"/>
                <w:sz w:val="18"/>
              </w:rPr>
              <w:t>+6.5%</w:t>
            </w:r>
          </w:p>
        </w:tc>
        <w:tc>
          <w:tcPr>
            <w:tcW w:type="dxa" w:w="1235"/>
          </w:tcPr>
          <w:p>
            <w:pPr>
              <w:jc w:val="center"/>
            </w:pPr>
            <w:r/>
            <w:r>
              <w:rPr>
                <w:rFonts w:ascii="SimSun" w:hAnsi="SimSun" w:eastAsia="SimSun"/>
                <w:b w:val="0"/>
                <w:sz w:val="18"/>
              </w:rPr>
              <w:t>506.25</w:t>
            </w:r>
          </w:p>
        </w:tc>
      </w:tr>
      <w:tr>
        <w:tc>
          <w:tcPr>
            <w:tcW w:type="dxa" w:w="1235"/>
          </w:tcPr>
          <w:p>
            <w:pPr>
              <w:jc w:val="center"/>
            </w:pPr>
            <w:r/>
            <w:r>
              <w:rPr>
                <w:rFonts w:ascii="SimSun" w:hAnsi="SimSun" w:eastAsia="SimSun"/>
                <w:b w:val="0"/>
                <w:sz w:val="18"/>
              </w:rPr>
              <w:t>归母净利润（亿元）</w:t>
            </w:r>
          </w:p>
        </w:tc>
        <w:tc>
          <w:tcPr>
            <w:tcW w:type="dxa" w:w="1235"/>
          </w:tcPr>
          <w:p>
            <w:pPr>
              <w:jc w:val="center"/>
            </w:pPr>
            <w:r/>
            <w:r>
              <w:rPr>
                <w:rFonts w:ascii="SimSun" w:hAnsi="SimSun" w:eastAsia="SimSun"/>
                <w:b w:val="0"/>
                <w:sz w:val="18"/>
              </w:rPr>
              <w:t>823.20</w:t>
            </w:r>
          </w:p>
        </w:tc>
        <w:tc>
          <w:tcPr>
            <w:tcW w:type="dxa" w:w="1235"/>
          </w:tcPr>
          <w:p>
            <w:pPr>
              <w:jc w:val="center"/>
            </w:pPr>
            <w:r/>
            <w:r>
              <w:rPr>
                <w:rFonts w:ascii="SimSun" w:hAnsi="SimSun" w:eastAsia="SimSun"/>
                <w:b w:val="0"/>
                <w:sz w:val="18"/>
              </w:rPr>
              <w:t>-4.5%</w:t>
            </w:r>
          </w:p>
        </w:tc>
        <w:tc>
          <w:tcPr>
            <w:tcW w:type="dxa" w:w="1235"/>
          </w:tcPr>
          <w:p>
            <w:pPr>
              <w:jc w:val="center"/>
            </w:pPr>
            <w:r/>
            <w:r>
              <w:rPr>
                <w:rFonts w:ascii="SimSun" w:hAnsi="SimSun" w:eastAsia="SimSun"/>
                <w:b w:val="0"/>
                <w:sz w:val="18"/>
              </w:rPr>
              <w:t>862.28</w:t>
            </w:r>
          </w:p>
        </w:tc>
        <w:tc>
          <w:tcPr>
            <w:tcW w:type="dxa" w:w="1235"/>
          </w:tcPr>
          <w:p>
            <w:pPr>
              <w:jc w:val="center"/>
            </w:pPr>
            <w:r/>
            <w:r>
              <w:rPr>
                <w:rFonts w:ascii="SimSun" w:hAnsi="SimSun" w:eastAsia="SimSun"/>
                <w:b w:val="0"/>
                <w:sz w:val="18"/>
              </w:rPr>
              <w:t>272.43</w:t>
            </w:r>
          </w:p>
        </w:tc>
        <w:tc>
          <w:tcPr>
            <w:tcW w:type="dxa" w:w="1235"/>
          </w:tcPr>
          <w:p>
            <w:pPr>
              <w:jc w:val="center"/>
            </w:pPr>
            <w:r/>
            <w:r>
              <w:rPr>
                <w:rFonts w:ascii="SimSun" w:hAnsi="SimSun" w:eastAsia="SimSun"/>
                <w:b w:val="0"/>
                <w:sz w:val="18"/>
              </w:rPr>
              <w:t>+1.5%</w:t>
            </w:r>
          </w:p>
        </w:tc>
        <w:tc>
          <w:tcPr>
            <w:tcW w:type="dxa" w:w="1235"/>
          </w:tcPr>
          <w:p>
            <w:pPr>
              <w:jc w:val="center"/>
            </w:pPr>
            <w:r/>
            <w:r>
              <w:rPr>
                <w:rFonts w:ascii="SimSun" w:hAnsi="SimSun" w:eastAsia="SimSun"/>
                <w:b w:val="0"/>
                <w:sz w:val="18"/>
              </w:rPr>
              <w:t>268.47</w:t>
            </w:r>
          </w:p>
        </w:tc>
      </w:tr>
      <w:tr>
        <w:tc>
          <w:tcPr>
            <w:tcW w:type="dxa" w:w="1235"/>
          </w:tcPr>
          <w:p>
            <w:pPr>
              <w:jc w:val="center"/>
            </w:pPr>
            <w:r/>
            <w:r>
              <w:rPr>
                <w:rFonts w:ascii="SimSun" w:hAnsi="SimSun" w:eastAsia="SimSun"/>
                <w:b w:val="0"/>
                <w:sz w:val="18"/>
              </w:rPr>
              <w:t>扣非净利润（亿元）</w:t>
            </w:r>
          </w:p>
        </w:tc>
        <w:tc>
          <w:tcPr>
            <w:tcW w:type="dxa" w:w="1235"/>
          </w:tcPr>
          <w:p>
            <w:pPr>
              <w:jc w:val="center"/>
            </w:pPr>
            <w:r/>
            <w:r>
              <w:rPr>
                <w:rFonts w:ascii="SimSun" w:hAnsi="SimSun" w:eastAsia="SimSun"/>
                <w:b w:val="0"/>
                <w:sz w:val="18"/>
              </w:rPr>
              <w:t>822.93</w:t>
            </w:r>
          </w:p>
        </w:tc>
        <w:tc>
          <w:tcPr>
            <w:tcW w:type="dxa" w:w="1235"/>
          </w:tcPr>
          <w:p>
            <w:pPr>
              <w:jc w:val="center"/>
            </w:pPr>
            <w:r/>
            <w:r>
              <w:rPr>
                <w:rFonts w:ascii="SimSun" w:hAnsi="SimSun" w:eastAsia="SimSun"/>
                <w:b w:val="0"/>
                <w:sz w:val="18"/>
              </w:rPr>
              <w:t>-4.6%</w:t>
            </w:r>
          </w:p>
        </w:tc>
        <w:tc>
          <w:tcPr>
            <w:tcW w:type="dxa" w:w="1235"/>
          </w:tcPr>
          <w:p>
            <w:pPr>
              <w:jc w:val="center"/>
            </w:pPr>
            <w:r/>
            <w:r>
              <w:rPr>
                <w:rFonts w:ascii="SimSun" w:hAnsi="SimSun" w:eastAsia="SimSun"/>
                <w:b w:val="0"/>
                <w:sz w:val="18"/>
              </w:rPr>
              <w:t>862.77</w:t>
            </w:r>
          </w:p>
        </w:tc>
        <w:tc>
          <w:tcPr>
            <w:tcW w:type="dxa" w:w="1235"/>
          </w:tcPr>
          <w:p>
            <w:pPr>
              <w:jc w:val="center"/>
            </w:pPr>
            <w:r/>
            <w:r>
              <w:rPr>
                <w:rFonts w:ascii="SimSun" w:hAnsi="SimSun" w:eastAsia="SimSun"/>
                <w:b w:val="0"/>
                <w:sz w:val="18"/>
              </w:rPr>
              <w:t>272.40</w:t>
            </w:r>
          </w:p>
        </w:tc>
        <w:tc>
          <w:tcPr>
            <w:tcW w:type="dxa" w:w="1235"/>
          </w:tcPr>
          <w:p>
            <w:pPr>
              <w:jc w:val="center"/>
            </w:pPr>
            <w:r/>
            <w:r>
              <w:rPr>
                <w:rFonts w:ascii="SimSun" w:hAnsi="SimSun" w:eastAsia="SimSun"/>
                <w:b w:val="0"/>
                <w:sz w:val="18"/>
              </w:rPr>
              <w:t>+1.5%</w:t>
            </w:r>
          </w:p>
        </w:tc>
        <w:tc>
          <w:tcPr>
            <w:tcW w:type="dxa" w:w="1235"/>
          </w:tcPr>
          <w:p>
            <w:pPr>
              <w:jc w:val="center"/>
            </w:pPr>
            <w:r/>
            <w:r>
              <w:rPr>
                <w:rFonts w:ascii="SimSun" w:hAnsi="SimSun" w:eastAsia="SimSun"/>
                <w:b w:val="0"/>
                <w:sz w:val="18"/>
              </w:rPr>
              <w:t>268.52</w:t>
            </w:r>
          </w:p>
        </w:tc>
      </w:tr>
      <w:tr>
        <w:tc>
          <w:tcPr>
            <w:tcW w:type="dxa" w:w="1235"/>
          </w:tcPr>
          <w:p>
            <w:pPr>
              <w:jc w:val="center"/>
            </w:pPr>
            <w:r/>
            <w:r>
              <w:rPr>
                <w:rFonts w:ascii="SimSun" w:hAnsi="SimSun" w:eastAsia="SimSun"/>
                <w:b w:val="0"/>
                <w:sz w:val="18"/>
              </w:rPr>
              <w:t>毛利率</w:t>
            </w:r>
          </w:p>
        </w:tc>
        <w:tc>
          <w:tcPr>
            <w:tcW w:type="dxa" w:w="1235"/>
          </w:tcPr>
          <w:p>
            <w:pPr>
              <w:jc w:val="center"/>
            </w:pPr>
            <w:r/>
            <w:r>
              <w:rPr>
                <w:rFonts w:ascii="SimSun" w:hAnsi="SimSun" w:eastAsia="SimSun"/>
                <w:b w:val="0"/>
                <w:sz w:val="18"/>
              </w:rPr>
              <w:t>91.18%</w:t>
            </w:r>
          </w:p>
        </w:tc>
        <w:tc>
          <w:tcPr>
            <w:tcW w:type="dxa" w:w="1235"/>
          </w:tcPr>
          <w:p>
            <w:pPr>
              <w:jc w:val="center"/>
            </w:pPr>
            <w:r/>
            <w:r>
              <w:rPr>
                <w:rFonts w:ascii="SimSun" w:hAnsi="SimSun" w:eastAsia="SimSun"/>
                <w:b w:val="0"/>
                <w:sz w:val="18"/>
              </w:rPr>
              <w:t>-0.8pct</w:t>
            </w:r>
          </w:p>
        </w:tc>
        <w:tc>
          <w:tcPr>
            <w:tcW w:type="dxa" w:w="1235"/>
          </w:tcPr>
          <w:p>
            <w:pPr>
              <w:jc w:val="center"/>
            </w:pPr>
            <w:r/>
            <w:r>
              <w:rPr>
                <w:rFonts w:ascii="SimSun" w:hAnsi="SimSun" w:eastAsia="SimSun"/>
                <w:b w:val="0"/>
                <w:sz w:val="18"/>
              </w:rPr>
              <w:t>91.99%</w:t>
            </w:r>
          </w:p>
        </w:tc>
        <w:tc>
          <w:tcPr>
            <w:tcW w:type="dxa" w:w="1235"/>
          </w:tcPr>
          <w:p>
            <w:pPr>
              <w:jc w:val="center"/>
            </w:pPr>
            <w:r/>
            <w:r>
              <w:rPr>
                <w:rFonts w:ascii="SimSun" w:hAnsi="SimSun" w:eastAsia="SimSun"/>
                <w:b w:val="0"/>
                <w:sz w:val="18"/>
              </w:rPr>
              <w:t>89.76%</w:t>
            </w:r>
          </w:p>
        </w:tc>
        <w:tc>
          <w:tcPr>
            <w:tcW w:type="dxa" w:w="1235"/>
          </w:tcPr>
          <w:p>
            <w:pPr>
              <w:jc w:val="center"/>
            </w:pPr>
            <w:r/>
            <w:r>
              <w:rPr>
                <w:rFonts w:ascii="SimSun" w:hAnsi="SimSun" w:eastAsia="SimSun"/>
                <w:b w:val="0"/>
                <w:sz w:val="18"/>
              </w:rPr>
              <w:t>-2.4pct</w:t>
            </w:r>
          </w:p>
        </w:tc>
        <w:tc>
          <w:tcPr>
            <w:tcW w:type="dxa" w:w="1235"/>
          </w:tcPr>
          <w:p>
            <w:pPr>
              <w:jc w:val="center"/>
            </w:pPr>
            <w:r/>
            <w:r>
              <w:rPr>
                <w:rFonts w:ascii="SimSun" w:hAnsi="SimSun" w:eastAsia="SimSun"/>
                <w:b w:val="0"/>
                <w:sz w:val="18"/>
              </w:rPr>
              <w:t>92.17%</w:t>
            </w:r>
          </w:p>
        </w:tc>
      </w:tr>
      <w:tr>
        <w:tc>
          <w:tcPr>
            <w:tcW w:type="dxa" w:w="1235"/>
          </w:tcPr>
          <w:p>
            <w:pPr>
              <w:jc w:val="center"/>
            </w:pPr>
            <w:r/>
            <w:r>
              <w:rPr>
                <w:rFonts w:ascii="SimSun" w:hAnsi="SimSun" w:eastAsia="SimSun"/>
                <w:b w:val="0"/>
                <w:sz w:val="18"/>
              </w:rPr>
              <w:t>净利率</w:t>
            </w:r>
          </w:p>
        </w:tc>
        <w:tc>
          <w:tcPr>
            <w:tcW w:type="dxa" w:w="1235"/>
          </w:tcPr>
          <w:p>
            <w:pPr>
              <w:jc w:val="center"/>
            </w:pPr>
            <w:r/>
            <w:r>
              <w:rPr>
                <w:rFonts w:ascii="SimSun" w:hAnsi="SimSun" w:eastAsia="SimSun"/>
                <w:b w:val="0"/>
                <w:sz w:val="18"/>
              </w:rPr>
              <w:t>50.53%</w:t>
            </w:r>
          </w:p>
        </w:tc>
        <w:tc>
          <w:tcPr>
            <w:tcW w:type="dxa" w:w="1235"/>
          </w:tcPr>
          <w:p>
            <w:pPr>
              <w:jc w:val="center"/>
            </w:pPr>
            <w:r/>
            <w:r>
              <w:rPr>
                <w:rFonts w:ascii="SimSun" w:hAnsi="SimSun" w:eastAsia="SimSun"/>
                <w:b w:val="0"/>
                <w:sz w:val="18"/>
              </w:rPr>
              <w:t>-1.8pct</w:t>
            </w:r>
          </w:p>
        </w:tc>
        <w:tc>
          <w:tcPr>
            <w:tcW w:type="dxa" w:w="1235"/>
          </w:tcPr>
          <w:p>
            <w:pPr>
              <w:jc w:val="center"/>
            </w:pPr>
            <w:r/>
            <w:r>
              <w:rPr>
                <w:rFonts w:ascii="SimSun" w:hAnsi="SimSun" w:eastAsia="SimSun"/>
                <w:b w:val="0"/>
                <w:sz w:val="18"/>
              </w:rPr>
              <w:t>52.27%</w:t>
            </w:r>
          </w:p>
        </w:tc>
        <w:tc>
          <w:tcPr>
            <w:tcW w:type="dxa" w:w="1235"/>
          </w:tcPr>
          <w:p>
            <w:pPr>
              <w:jc w:val="center"/>
            </w:pPr>
            <w:r/>
            <w:r>
              <w:rPr>
                <w:rFonts w:ascii="SimSun" w:hAnsi="SimSun" w:eastAsia="SimSun"/>
                <w:b w:val="0"/>
                <w:sz w:val="18"/>
              </w:rPr>
              <w:t>52.22%</w:t>
            </w:r>
          </w:p>
        </w:tc>
        <w:tc>
          <w:tcPr>
            <w:tcW w:type="dxa" w:w="1235"/>
          </w:tcPr>
          <w:p>
            <w:pPr>
              <w:jc w:val="center"/>
            </w:pPr>
            <w:r/>
            <w:r>
              <w:rPr>
                <w:rFonts w:ascii="SimSun" w:hAnsi="SimSun" w:eastAsia="SimSun"/>
                <w:b w:val="0"/>
                <w:sz w:val="18"/>
              </w:rPr>
              <w:t>-4.9pct</w:t>
            </w:r>
          </w:p>
        </w:tc>
        <w:tc>
          <w:tcPr>
            <w:tcW w:type="dxa" w:w="1235"/>
          </w:tcPr>
          <w:p>
            <w:pPr>
              <w:jc w:val="center"/>
            </w:pPr>
            <w:r/>
            <w:r>
              <w:rPr>
                <w:rFonts w:ascii="SimSun" w:hAnsi="SimSun" w:eastAsia="SimSun"/>
                <w:b w:val="0"/>
                <w:sz w:val="18"/>
              </w:rPr>
              <w:t>57.08%</w:t>
            </w:r>
          </w:p>
        </w:tc>
      </w:tr>
      <w:tr>
        <w:tc>
          <w:tcPr>
            <w:tcW w:type="dxa" w:w="1235"/>
          </w:tcPr>
          <w:p>
            <w:pPr>
              <w:jc w:val="center"/>
            </w:pPr>
            <w:r/>
            <w:r>
              <w:rPr>
                <w:rFonts w:ascii="SimSun" w:hAnsi="SimSun" w:eastAsia="SimSun"/>
                <w:b w:val="0"/>
                <w:sz w:val="18"/>
              </w:rPr>
              <w:t>基本EPS（元）</w:t>
            </w:r>
          </w:p>
        </w:tc>
        <w:tc>
          <w:tcPr>
            <w:tcW w:type="dxa" w:w="1235"/>
          </w:tcPr>
          <w:p>
            <w:pPr>
              <w:jc w:val="center"/>
            </w:pPr>
            <w:r/>
            <w:r>
              <w:rPr>
                <w:rFonts w:ascii="SimSun" w:hAnsi="SimSun" w:eastAsia="SimSun"/>
                <w:b w:val="0"/>
                <w:sz w:val="18"/>
              </w:rPr>
              <w:t>65.66</w:t>
            </w:r>
          </w:p>
        </w:tc>
        <w:tc>
          <w:tcPr>
            <w:tcW w:type="dxa" w:w="1235"/>
          </w:tcPr>
          <w:p>
            <w:pPr>
              <w:jc w:val="center"/>
            </w:pPr>
            <w:r/>
            <w:r>
              <w:rPr>
                <w:rFonts w:ascii="SimSun" w:hAnsi="SimSun" w:eastAsia="SimSun"/>
                <w:b w:val="0"/>
                <w:sz w:val="18"/>
              </w:rPr>
              <w:t>-4.3%</w:t>
            </w:r>
          </w:p>
        </w:tc>
        <w:tc>
          <w:tcPr>
            <w:tcW w:type="dxa" w:w="1235"/>
          </w:tcPr>
          <w:p>
            <w:pPr>
              <w:jc w:val="center"/>
            </w:pPr>
            <w:r/>
            <w:r>
              <w:rPr>
                <w:rFonts w:ascii="SimSun" w:hAnsi="SimSun" w:eastAsia="SimSun"/>
                <w:b w:val="0"/>
                <w:sz w:val="18"/>
              </w:rPr>
              <w:t>68.63</w:t>
            </w:r>
          </w:p>
        </w:tc>
        <w:tc>
          <w:tcPr>
            <w:tcW w:type="dxa" w:w="1235"/>
          </w:tcPr>
          <w:p>
            <w:pPr>
              <w:jc w:val="center"/>
            </w:pPr>
            <w:r/>
            <w:r>
              <w:rPr>
                <w:rFonts w:ascii="SimSun" w:hAnsi="SimSun" w:eastAsia="SimSun"/>
                <w:b w:val="0"/>
                <w:sz w:val="18"/>
              </w:rPr>
              <w:t>21.76</w:t>
            </w:r>
          </w:p>
        </w:tc>
        <w:tc>
          <w:tcPr>
            <w:tcW w:type="dxa" w:w="1235"/>
          </w:tcPr>
          <w:p>
            <w:pPr>
              <w:jc w:val="center"/>
            </w:pPr>
            <w:r/>
            <w:r>
              <w:rPr>
                <w:rFonts w:ascii="SimSun" w:hAnsi="SimSun" w:eastAsia="SimSun"/>
                <w:b w:val="0"/>
                <w:sz w:val="18"/>
              </w:rPr>
              <w:t>+1.8%</w:t>
            </w:r>
          </w:p>
        </w:tc>
        <w:tc>
          <w:tcPr>
            <w:tcW w:type="dxa" w:w="1235"/>
          </w:tcPr>
          <w:p>
            <w:pPr>
              <w:jc w:val="center"/>
            </w:pPr>
            <w:r/>
            <w:r>
              <w:rPr>
                <w:rFonts w:ascii="SimSun" w:hAnsi="SimSun" w:eastAsia="SimSun"/>
                <w:b w:val="0"/>
                <w:sz w:val="18"/>
              </w:rPr>
              <w:t>21.37</w:t>
            </w:r>
          </w:p>
        </w:tc>
      </w:tr>
      <w:tr>
        <w:tc>
          <w:tcPr>
            <w:tcW w:type="dxa" w:w="1235"/>
          </w:tcPr>
          <w:p>
            <w:pPr>
              <w:jc w:val="center"/>
            </w:pPr>
            <w:r/>
            <w:r>
              <w:rPr>
                <w:rFonts w:ascii="SimSun" w:hAnsi="SimSun" w:eastAsia="SimSun"/>
                <w:b w:val="0"/>
                <w:sz w:val="18"/>
              </w:rPr>
              <w:t>经营现金流（亿元）</w:t>
            </w:r>
          </w:p>
        </w:tc>
        <w:tc>
          <w:tcPr>
            <w:tcW w:type="dxa" w:w="1235"/>
          </w:tcPr>
          <w:p>
            <w:pPr>
              <w:jc w:val="center"/>
            </w:pPr>
            <w:r/>
            <w:r>
              <w:rPr>
                <w:rFonts w:ascii="SimSun" w:hAnsi="SimSun" w:eastAsia="SimSun"/>
                <w:b w:val="0"/>
                <w:sz w:val="18"/>
              </w:rPr>
              <w:t>615.22</w:t>
            </w:r>
          </w:p>
        </w:tc>
        <w:tc>
          <w:tcPr>
            <w:tcW w:type="dxa" w:w="1235"/>
          </w:tcPr>
          <w:p>
            <w:pPr>
              <w:jc w:val="center"/>
            </w:pPr>
            <w:r/>
            <w:r>
              <w:rPr>
                <w:rFonts w:ascii="SimSun" w:hAnsi="SimSun" w:eastAsia="SimSun"/>
                <w:b w:val="0"/>
                <w:sz w:val="18"/>
              </w:rPr>
              <w:t>-33.5%</w:t>
            </w:r>
          </w:p>
        </w:tc>
        <w:tc>
          <w:tcPr>
            <w:tcW w:type="dxa" w:w="1235"/>
          </w:tcPr>
          <w:p>
            <w:pPr>
              <w:jc w:val="center"/>
            </w:pPr>
            <w:r/>
            <w:r>
              <w:rPr>
                <w:rFonts w:ascii="SimSun" w:hAnsi="SimSun" w:eastAsia="SimSun"/>
                <w:b w:val="0"/>
                <w:sz w:val="18"/>
              </w:rPr>
              <w:t>924.64</w:t>
            </w:r>
          </w:p>
        </w:tc>
        <w:tc>
          <w:tcPr>
            <w:tcW w:type="dxa" w:w="1235"/>
          </w:tcPr>
          <w:p>
            <w:pPr>
              <w:jc w:val="center"/>
            </w:pPr>
            <w:r/>
            <w:r>
              <w:rPr>
                <w:rFonts w:ascii="SimSun" w:hAnsi="SimSun" w:eastAsia="SimSun"/>
                <w:b w:val="0"/>
                <w:sz w:val="18"/>
              </w:rPr>
              <w:t>269.10</w:t>
            </w:r>
          </w:p>
        </w:tc>
        <w:tc>
          <w:tcPr>
            <w:tcW w:type="dxa" w:w="1235"/>
          </w:tcPr>
          <w:p>
            <w:pPr>
              <w:jc w:val="center"/>
            </w:pPr>
            <w:r/>
            <w:r>
              <w:rPr>
                <w:rFonts w:ascii="SimSun" w:hAnsi="SimSun" w:eastAsia="SimSun"/>
                <w:b w:val="0"/>
                <w:sz w:val="18"/>
              </w:rPr>
              <w:t>+206%</w:t>
            </w:r>
          </w:p>
        </w:tc>
        <w:tc>
          <w:tcPr>
            <w:tcW w:type="dxa" w:w="1235"/>
          </w:tcPr>
          <w:p>
            <w:pPr>
              <w:jc w:val="center"/>
            </w:pPr>
            <w:r/>
            <w:r>
              <w:rPr>
                <w:rFonts w:ascii="SimSun" w:hAnsi="SimSun" w:eastAsia="SimSun"/>
                <w:b w:val="0"/>
                <w:sz w:val="18"/>
              </w:rPr>
              <w:t>-</w:t>
            </w:r>
          </w:p>
        </w:tc>
      </w:tr>
    </w:tbl>
    <w:p/>
    <w:p>
      <w:r>
        <w:rPr>
          <w:b/>
          <w:sz w:val="20"/>
        </w:rPr>
        <w:t>表2：2025年实际 vs 一致预期 vs 中金预测</w:t>
      </w:r>
    </w:p>
    <w:tbl>
      <w:tblPr>
        <w:tblW w:type="auto" w:w="0"/>
        <w:jc w:val="center"/>
        <w:tblLook w:firstColumn="1" w:firstRow="1" w:lastColumn="0" w:lastRow="0" w:noHBand="0" w:noVBand="1" w:val="04A0"/>
      </w:tblPr>
      <w:tblGrid>
        <w:gridCol w:w="1729"/>
        <w:gridCol w:w="1729"/>
        <w:gridCol w:w="1729"/>
        <w:gridCol w:w="1729"/>
        <w:gridCol w:w="1729"/>
      </w:tblGrid>
      <w:tr>
        <w:tc>
          <w:tcPr>
            <w:tcW w:type="dxa" w:w="1729"/>
            <w:shd w:fill="1F4E79" w:val="clear"/>
          </w:tcPr>
          <w:p>
            <w:pPr>
              <w:jc w:val="center"/>
            </w:pPr>
            <w:r/>
            <w:r>
              <w:rPr>
                <w:rFonts w:ascii="SimHei" w:hAnsi="SimHei" w:eastAsia="SimHei"/>
                <w:b/>
                <w:color w:val="FFFFFF"/>
                <w:sz w:val="18"/>
              </w:rPr>
              <w:t>项目</w:t>
            </w:r>
          </w:p>
        </w:tc>
        <w:tc>
          <w:tcPr>
            <w:tcW w:type="dxa" w:w="1729"/>
            <w:shd w:fill="1F4E79" w:val="clear"/>
          </w:tcPr>
          <w:p>
            <w:pPr>
              <w:jc w:val="center"/>
            </w:pPr>
            <w:r/>
            <w:r>
              <w:rPr>
                <w:rFonts w:ascii="SimHei" w:hAnsi="SimHei" w:eastAsia="SimHei"/>
                <w:b/>
                <w:color w:val="FFFFFF"/>
                <w:sz w:val="18"/>
              </w:rPr>
              <w:t>实际值</w:t>
            </w:r>
          </w:p>
        </w:tc>
        <w:tc>
          <w:tcPr>
            <w:tcW w:type="dxa" w:w="1729"/>
            <w:shd w:fill="1F4E79" w:val="clear"/>
          </w:tcPr>
          <w:p>
            <w:pPr>
              <w:jc w:val="center"/>
            </w:pPr>
            <w:r/>
            <w:r>
              <w:rPr>
                <w:rFonts w:ascii="SimHei" w:hAnsi="SimHei" w:eastAsia="SimHei"/>
                <w:b/>
                <w:color w:val="FFFFFF"/>
                <w:sz w:val="18"/>
              </w:rPr>
              <w:t>一致预期</w:t>
            </w:r>
          </w:p>
        </w:tc>
        <w:tc>
          <w:tcPr>
            <w:tcW w:type="dxa" w:w="1729"/>
            <w:shd w:fill="1F4E79" w:val="clear"/>
          </w:tcPr>
          <w:p>
            <w:pPr>
              <w:jc w:val="center"/>
            </w:pPr>
            <w:r/>
            <w:r>
              <w:rPr>
                <w:rFonts w:ascii="SimHei" w:hAnsi="SimHei" w:eastAsia="SimHei"/>
                <w:b/>
                <w:color w:val="FFFFFF"/>
                <w:sz w:val="18"/>
              </w:rPr>
              <w:t>中金预测</w:t>
            </w:r>
          </w:p>
        </w:tc>
        <w:tc>
          <w:tcPr>
            <w:tcW w:type="dxa" w:w="1729"/>
            <w:shd w:fill="1F4E79" w:val="clear"/>
          </w:tcPr>
          <w:p>
            <w:pPr>
              <w:jc w:val="center"/>
            </w:pPr>
            <w:r/>
            <w:r>
              <w:rPr>
                <w:rFonts w:ascii="SimHei" w:hAnsi="SimHei" w:eastAsia="SimHei"/>
                <w:b/>
                <w:color w:val="FFFFFF"/>
                <w:sz w:val="18"/>
              </w:rPr>
              <w:t>偏差率</w:t>
            </w:r>
          </w:p>
        </w:tc>
      </w:tr>
      <w:tr>
        <w:tc>
          <w:tcPr>
            <w:tcW w:type="dxa" w:w="1729"/>
          </w:tcPr>
          <w:p>
            <w:pPr>
              <w:jc w:val="center"/>
            </w:pPr>
            <w:r/>
            <w:r>
              <w:rPr>
                <w:rFonts w:ascii="SimSun" w:hAnsi="SimSun" w:eastAsia="SimSun"/>
                <w:b w:val="0"/>
                <w:sz w:val="18"/>
              </w:rPr>
              <w:t>营业收入（亿元）</w:t>
            </w:r>
          </w:p>
        </w:tc>
        <w:tc>
          <w:tcPr>
            <w:tcW w:type="dxa" w:w="1729"/>
          </w:tcPr>
          <w:p>
            <w:pPr>
              <w:jc w:val="center"/>
            </w:pPr>
            <w:r/>
            <w:r>
              <w:rPr>
                <w:rFonts w:ascii="SimSun" w:hAnsi="SimSun" w:eastAsia="SimSun"/>
                <w:b w:val="0"/>
                <w:sz w:val="18"/>
              </w:rPr>
              <w:t>1,688</w:t>
            </w:r>
          </w:p>
        </w:tc>
        <w:tc>
          <w:tcPr>
            <w:tcW w:type="dxa" w:w="1729"/>
          </w:tcPr>
          <w:p>
            <w:pPr>
              <w:jc w:val="center"/>
            </w:pPr>
            <w:r/>
            <w:r>
              <w:rPr>
                <w:rFonts w:ascii="SimSun" w:hAnsi="SimSun" w:eastAsia="SimSun"/>
                <w:b w:val="0"/>
                <w:sz w:val="18"/>
              </w:rPr>
              <w:t>1,735</w:t>
            </w:r>
          </w:p>
        </w:tc>
        <w:tc>
          <w:tcPr>
            <w:tcW w:type="dxa" w:w="1729"/>
          </w:tcPr>
          <w:p>
            <w:pPr>
              <w:jc w:val="center"/>
            </w:pPr>
            <w:r/>
            <w:r>
              <w:rPr>
                <w:rFonts w:ascii="SimSun" w:hAnsi="SimSun" w:eastAsia="SimSun"/>
                <w:b w:val="0"/>
                <w:sz w:val="18"/>
              </w:rPr>
              <w:t>1,720</w:t>
            </w:r>
          </w:p>
        </w:tc>
        <w:tc>
          <w:tcPr>
            <w:tcW w:type="dxa" w:w="1729"/>
          </w:tcPr>
          <w:p>
            <w:pPr>
              <w:jc w:val="center"/>
            </w:pPr>
            <w:r/>
            <w:r>
              <w:rPr>
                <w:rFonts w:ascii="SimSun" w:hAnsi="SimSun" w:eastAsia="SimSun"/>
                <w:b w:val="0"/>
                <w:sz w:val="18"/>
              </w:rPr>
              <w:t>-2.7% → 低于预期</w:t>
            </w:r>
          </w:p>
        </w:tc>
      </w:tr>
      <w:tr>
        <w:tc>
          <w:tcPr>
            <w:tcW w:type="dxa" w:w="1729"/>
          </w:tcPr>
          <w:p>
            <w:pPr>
              <w:jc w:val="center"/>
            </w:pPr>
            <w:r/>
            <w:r>
              <w:rPr>
                <w:rFonts w:ascii="SimSun" w:hAnsi="SimSun" w:eastAsia="SimSun"/>
                <w:b w:val="0"/>
                <w:sz w:val="18"/>
              </w:rPr>
              <w:t>归母净利润（亿元）</w:t>
            </w:r>
          </w:p>
        </w:tc>
        <w:tc>
          <w:tcPr>
            <w:tcW w:type="dxa" w:w="1729"/>
          </w:tcPr>
          <w:p>
            <w:pPr>
              <w:jc w:val="center"/>
            </w:pPr>
            <w:r/>
            <w:r>
              <w:rPr>
                <w:rFonts w:ascii="SimSun" w:hAnsi="SimSun" w:eastAsia="SimSun"/>
                <w:b w:val="0"/>
                <w:sz w:val="18"/>
              </w:rPr>
              <w:t>823.2</w:t>
            </w:r>
          </w:p>
        </w:tc>
        <w:tc>
          <w:tcPr>
            <w:tcW w:type="dxa" w:w="1729"/>
          </w:tcPr>
          <w:p>
            <w:pPr>
              <w:jc w:val="center"/>
            </w:pPr>
            <w:r/>
            <w:r>
              <w:rPr>
                <w:rFonts w:ascii="SimSun" w:hAnsi="SimSun" w:eastAsia="SimSun"/>
                <w:b w:val="0"/>
                <w:sz w:val="18"/>
              </w:rPr>
              <w:t>897.0</w:t>
            </w:r>
          </w:p>
        </w:tc>
        <w:tc>
          <w:tcPr>
            <w:tcW w:type="dxa" w:w="1729"/>
          </w:tcPr>
          <w:p>
            <w:pPr>
              <w:jc w:val="center"/>
            </w:pPr>
            <w:r/>
            <w:r>
              <w:rPr>
                <w:rFonts w:ascii="SimSun" w:hAnsi="SimSun" w:eastAsia="SimSun"/>
                <w:b w:val="0"/>
                <w:sz w:val="18"/>
              </w:rPr>
              <w:t>862.0</w:t>
            </w:r>
          </w:p>
        </w:tc>
        <w:tc>
          <w:tcPr>
            <w:tcW w:type="dxa" w:w="1729"/>
          </w:tcPr>
          <w:p>
            <w:pPr>
              <w:jc w:val="center"/>
            </w:pPr>
            <w:r/>
            <w:r>
              <w:rPr>
                <w:rFonts w:ascii="SimSun" w:hAnsi="SimSun" w:eastAsia="SimSun"/>
                <w:b w:val="0"/>
                <w:sz w:val="18"/>
              </w:rPr>
              <w:t>-8.2% → 低于预期</w:t>
            </w:r>
          </w:p>
        </w:tc>
      </w:tr>
      <w:tr>
        <w:tc>
          <w:tcPr>
            <w:tcW w:type="dxa" w:w="1729"/>
          </w:tcPr>
          <w:p>
            <w:pPr>
              <w:jc w:val="center"/>
            </w:pPr>
            <w:r/>
            <w:r>
              <w:rPr>
                <w:rFonts w:ascii="SimSun" w:hAnsi="SimSun" w:eastAsia="SimSun"/>
                <w:b w:val="0"/>
                <w:sz w:val="18"/>
              </w:rPr>
              <w:t>EPS（元）</w:t>
            </w:r>
          </w:p>
        </w:tc>
        <w:tc>
          <w:tcPr>
            <w:tcW w:type="dxa" w:w="1729"/>
          </w:tcPr>
          <w:p>
            <w:pPr>
              <w:jc w:val="center"/>
            </w:pPr>
            <w:r/>
            <w:r>
              <w:rPr>
                <w:rFonts w:ascii="SimSun" w:hAnsi="SimSun" w:eastAsia="SimSun"/>
                <w:b w:val="0"/>
                <w:sz w:val="18"/>
              </w:rPr>
              <w:t>65.66</w:t>
            </w:r>
          </w:p>
        </w:tc>
        <w:tc>
          <w:tcPr>
            <w:tcW w:type="dxa" w:w="1729"/>
          </w:tcPr>
          <w:p>
            <w:pPr>
              <w:jc w:val="center"/>
            </w:pPr>
            <w:r/>
            <w:r>
              <w:rPr>
                <w:rFonts w:ascii="SimSun" w:hAnsi="SimSun" w:eastAsia="SimSun"/>
                <w:b w:val="0"/>
                <w:sz w:val="18"/>
              </w:rPr>
              <w:t>71.55</w:t>
            </w:r>
          </w:p>
        </w:tc>
        <w:tc>
          <w:tcPr>
            <w:tcW w:type="dxa" w:w="1729"/>
          </w:tcPr>
          <w:p>
            <w:pPr>
              <w:jc w:val="center"/>
            </w:pPr>
            <w:r/>
            <w:r>
              <w:rPr>
                <w:rFonts w:ascii="SimSun" w:hAnsi="SimSun" w:eastAsia="SimSun"/>
                <w:b w:val="0"/>
                <w:sz w:val="18"/>
              </w:rPr>
              <w:t>68.80</w:t>
            </w:r>
          </w:p>
        </w:tc>
        <w:tc>
          <w:tcPr>
            <w:tcW w:type="dxa" w:w="1729"/>
          </w:tcPr>
          <w:p>
            <w:pPr>
              <w:jc w:val="center"/>
            </w:pPr>
            <w:r/>
            <w:r>
              <w:rPr>
                <w:rFonts w:ascii="SimSun" w:hAnsi="SimSun" w:eastAsia="SimSun"/>
                <w:b w:val="0"/>
                <w:sz w:val="18"/>
              </w:rPr>
              <w:t>-8.3% → 低于预期</w:t>
            </w:r>
          </w:p>
        </w:tc>
      </w:tr>
    </w:tbl>
    <w:p/>
    <w:p>
      <w:pPr>
        <w:pStyle w:val="Heading2"/>
      </w:pPr>
      <w:r>
        <w:rPr>
          <w:rFonts w:ascii="SimHei" w:hAnsi="SimHei" w:eastAsia="SimHei"/>
        </w:rPr>
        <w:t>二、收入分析：茅台酒稳如磐石，系列酒承压，直销占比首超批发</w:t>
      </w:r>
    </w:p>
    <w:p>
      <w:r>
        <w:rPr>
          <w:rFonts w:ascii="SimHei" w:hAnsi="SimHei" w:eastAsia="SimHei"/>
          <w:b/>
          <w:sz w:val="22"/>
        </w:rPr>
        <w:t>分产品收入拆解</w:t>
      </w:r>
    </w:p>
    <w:p>
      <w:pPr>
        <w:ind w:firstLine="420"/>
      </w:pPr>
      <w:r>
        <w:rPr>
          <w:b w:val="0"/>
        </w:rPr>
        <w:t>2025年茅台酒实现收入1,465亿元，同比增长0.39%，毛利率维持在93.53%的高位水平，仅微降0.53pct。</w:t>
      </w:r>
      <w:r>
        <w:rPr>
          <w:b/>
        </w:rPr>
        <w:t>茅台酒作为公司的核心基本盘，在行业深度调整期展现出极强韧性，价格体系基本稳定，品牌壁垒无可撼动。</w:t>
      </w:r>
    </w:p>
    <w:p>
      <w:pPr>
        <w:ind w:firstLine="420"/>
      </w:pPr>
      <w:r>
        <w:rPr>
          <w:b w:val="0"/>
        </w:rPr>
        <w:t>系列酒实现收入222.75亿元，同比下滑9.76%，毛利率下降3.76pct至76.11%。系列酒的下滑主要源于：①行业需求疲软背景下，中低端白酒竞争加剧；②公司主动控制系列酒出货节奏，维护渠道健康；③产品结构从王子酒向茅台1935等次高端迁移过程中的阶段性阵痛。</w:t>
      </w:r>
    </w:p>
    <w:p/>
    <w:p>
      <w:r>
        <w:rPr>
          <w:b/>
          <w:sz w:val="20"/>
        </w:rPr>
        <w:t>分产品业绩一览</w:t>
      </w:r>
    </w:p>
    <w:tbl>
      <w:tblPr>
        <w:tblW w:type="auto" w:w="0"/>
        <w:jc w:val="center"/>
        <w:tblLook w:firstColumn="1" w:firstRow="1" w:lastColumn="0" w:lastRow="0" w:noHBand="0" w:noVBand="1" w:val="04A0"/>
      </w:tblPr>
      <w:tblGrid>
        <w:gridCol w:w="1729"/>
        <w:gridCol w:w="1729"/>
        <w:gridCol w:w="1729"/>
        <w:gridCol w:w="1729"/>
        <w:gridCol w:w="1729"/>
      </w:tblGrid>
      <w:tr>
        <w:tc>
          <w:tcPr>
            <w:tcW w:type="dxa" w:w="1729"/>
            <w:shd w:fill="1F4E79" w:val="clear"/>
          </w:tcPr>
          <w:p>
            <w:pPr>
              <w:jc w:val="center"/>
            </w:pPr>
            <w:r/>
            <w:r>
              <w:rPr>
                <w:rFonts w:ascii="SimHei" w:hAnsi="SimHei" w:eastAsia="SimHei"/>
                <w:b/>
                <w:color w:val="FFFFFF"/>
                <w:sz w:val="18"/>
              </w:rPr>
              <w:t>产品</w:t>
            </w:r>
          </w:p>
        </w:tc>
        <w:tc>
          <w:tcPr>
            <w:tcW w:type="dxa" w:w="1729"/>
            <w:shd w:fill="1F4E79" w:val="clear"/>
          </w:tcPr>
          <w:p>
            <w:pPr>
              <w:jc w:val="center"/>
            </w:pPr>
            <w:r/>
            <w:r>
              <w:rPr>
                <w:rFonts w:ascii="SimHei" w:hAnsi="SimHei" w:eastAsia="SimHei"/>
                <w:b/>
                <w:color w:val="FFFFFF"/>
                <w:sz w:val="18"/>
              </w:rPr>
              <w:t>2025收入（亿元）</w:t>
            </w:r>
          </w:p>
        </w:tc>
        <w:tc>
          <w:tcPr>
            <w:tcW w:type="dxa" w:w="1729"/>
            <w:shd w:fill="1F4E79" w:val="clear"/>
          </w:tcPr>
          <w:p>
            <w:pPr>
              <w:jc w:val="center"/>
            </w:pPr>
            <w:r/>
            <w:r>
              <w:rPr>
                <w:rFonts w:ascii="SimHei" w:hAnsi="SimHei" w:eastAsia="SimHei"/>
                <w:b/>
                <w:color w:val="FFFFFF"/>
                <w:sz w:val="18"/>
              </w:rPr>
              <w:t>同比</w:t>
            </w:r>
          </w:p>
        </w:tc>
        <w:tc>
          <w:tcPr>
            <w:tcW w:type="dxa" w:w="1729"/>
            <w:shd w:fill="1F4E79" w:val="clear"/>
          </w:tcPr>
          <w:p>
            <w:pPr>
              <w:jc w:val="center"/>
            </w:pPr>
            <w:r/>
            <w:r>
              <w:rPr>
                <w:rFonts w:ascii="SimHei" w:hAnsi="SimHei" w:eastAsia="SimHei"/>
                <w:b/>
                <w:color w:val="FFFFFF"/>
                <w:sz w:val="18"/>
              </w:rPr>
              <w:t>毛利率</w:t>
            </w:r>
          </w:p>
        </w:tc>
        <w:tc>
          <w:tcPr>
            <w:tcW w:type="dxa" w:w="1729"/>
            <w:shd w:fill="1F4E79" w:val="clear"/>
          </w:tcPr>
          <w:p>
            <w:pPr>
              <w:jc w:val="center"/>
            </w:pPr>
            <w:r/>
            <w:r>
              <w:rPr>
                <w:rFonts w:ascii="SimHei" w:hAnsi="SimHei" w:eastAsia="SimHei"/>
                <w:b/>
                <w:color w:val="FFFFFF"/>
                <w:sz w:val="18"/>
              </w:rPr>
              <w:t>毛利率变化</w:t>
            </w:r>
          </w:p>
        </w:tc>
      </w:tr>
      <w:tr>
        <w:tc>
          <w:tcPr>
            <w:tcW w:type="dxa" w:w="1729"/>
          </w:tcPr>
          <w:p>
            <w:pPr>
              <w:jc w:val="center"/>
            </w:pPr>
            <w:r/>
            <w:r>
              <w:rPr>
                <w:rFonts w:ascii="SimSun" w:hAnsi="SimSun" w:eastAsia="SimSun"/>
                <w:b w:val="0"/>
                <w:sz w:val="18"/>
              </w:rPr>
              <w:t>茅台酒</w:t>
            </w:r>
          </w:p>
        </w:tc>
        <w:tc>
          <w:tcPr>
            <w:tcW w:type="dxa" w:w="1729"/>
          </w:tcPr>
          <w:p>
            <w:pPr>
              <w:jc w:val="center"/>
            </w:pPr>
            <w:r/>
            <w:r>
              <w:rPr>
                <w:rFonts w:ascii="SimSun" w:hAnsi="SimSun" w:eastAsia="SimSun"/>
                <w:b w:val="0"/>
                <w:sz w:val="18"/>
              </w:rPr>
              <w:t>1,465.00</w:t>
            </w:r>
          </w:p>
        </w:tc>
        <w:tc>
          <w:tcPr>
            <w:tcW w:type="dxa" w:w="1729"/>
          </w:tcPr>
          <w:p>
            <w:pPr>
              <w:jc w:val="center"/>
            </w:pPr>
            <w:r/>
            <w:r>
              <w:rPr>
                <w:rFonts w:ascii="SimSun" w:hAnsi="SimSun" w:eastAsia="SimSun"/>
                <w:b w:val="0"/>
                <w:sz w:val="18"/>
              </w:rPr>
              <w:t>+0.39%</w:t>
            </w:r>
          </w:p>
        </w:tc>
        <w:tc>
          <w:tcPr>
            <w:tcW w:type="dxa" w:w="1729"/>
          </w:tcPr>
          <w:p>
            <w:pPr>
              <w:jc w:val="center"/>
            </w:pPr>
            <w:r/>
            <w:r>
              <w:rPr>
                <w:rFonts w:ascii="SimSun" w:hAnsi="SimSun" w:eastAsia="SimSun"/>
                <w:b w:val="0"/>
                <w:sz w:val="18"/>
              </w:rPr>
              <w:t>93.53%</w:t>
            </w:r>
          </w:p>
        </w:tc>
        <w:tc>
          <w:tcPr>
            <w:tcW w:type="dxa" w:w="1729"/>
          </w:tcPr>
          <w:p>
            <w:pPr>
              <w:jc w:val="center"/>
            </w:pPr>
            <w:r/>
            <w:r>
              <w:rPr>
                <w:rFonts w:ascii="SimSun" w:hAnsi="SimSun" w:eastAsia="SimSun"/>
                <w:b w:val="0"/>
                <w:sz w:val="18"/>
              </w:rPr>
              <w:t>-0.53pct</w:t>
            </w:r>
          </w:p>
        </w:tc>
      </w:tr>
      <w:tr>
        <w:tc>
          <w:tcPr>
            <w:tcW w:type="dxa" w:w="1729"/>
          </w:tcPr>
          <w:p>
            <w:pPr>
              <w:jc w:val="center"/>
            </w:pPr>
            <w:r/>
            <w:r>
              <w:rPr>
                <w:rFonts w:ascii="SimSun" w:hAnsi="SimSun" w:eastAsia="SimSun"/>
                <w:b w:val="0"/>
                <w:sz w:val="18"/>
              </w:rPr>
              <w:t>系列酒</w:t>
            </w:r>
          </w:p>
        </w:tc>
        <w:tc>
          <w:tcPr>
            <w:tcW w:type="dxa" w:w="1729"/>
          </w:tcPr>
          <w:p>
            <w:pPr>
              <w:jc w:val="center"/>
            </w:pPr>
            <w:r/>
            <w:r>
              <w:rPr>
                <w:rFonts w:ascii="SimSun" w:hAnsi="SimSun" w:eastAsia="SimSun"/>
                <w:b w:val="0"/>
                <w:sz w:val="18"/>
              </w:rPr>
              <w:t>222.75</w:t>
            </w:r>
          </w:p>
        </w:tc>
        <w:tc>
          <w:tcPr>
            <w:tcW w:type="dxa" w:w="1729"/>
          </w:tcPr>
          <w:p>
            <w:pPr>
              <w:jc w:val="center"/>
            </w:pPr>
            <w:r/>
            <w:r>
              <w:rPr>
                <w:rFonts w:ascii="SimSun" w:hAnsi="SimSun" w:eastAsia="SimSun"/>
                <w:b w:val="0"/>
                <w:sz w:val="18"/>
              </w:rPr>
              <w:t>-9.76%</w:t>
            </w:r>
          </w:p>
        </w:tc>
        <w:tc>
          <w:tcPr>
            <w:tcW w:type="dxa" w:w="1729"/>
          </w:tcPr>
          <w:p>
            <w:pPr>
              <w:jc w:val="center"/>
            </w:pPr>
            <w:r/>
            <w:r>
              <w:rPr>
                <w:rFonts w:ascii="SimSun" w:hAnsi="SimSun" w:eastAsia="SimSun"/>
                <w:b w:val="0"/>
                <w:sz w:val="18"/>
              </w:rPr>
              <w:t>76.11%</w:t>
            </w:r>
          </w:p>
        </w:tc>
        <w:tc>
          <w:tcPr>
            <w:tcW w:type="dxa" w:w="1729"/>
          </w:tcPr>
          <w:p>
            <w:pPr>
              <w:jc w:val="center"/>
            </w:pPr>
            <w:r/>
            <w:r>
              <w:rPr>
                <w:rFonts w:ascii="SimSun" w:hAnsi="SimSun" w:eastAsia="SimSun"/>
                <w:b w:val="0"/>
                <w:sz w:val="18"/>
              </w:rPr>
              <w:t>-3.76pct</w:t>
            </w:r>
          </w:p>
        </w:tc>
      </w:tr>
    </w:tbl>
    <w:p/>
    <w:p>
      <w:r>
        <w:rPr>
          <w:rFonts w:ascii="SimHei" w:hAnsi="SimHei" w:eastAsia="SimHei"/>
          <w:b/>
          <w:sz w:val="22"/>
        </w:rPr>
        <w:t>分渠道：直销占比首超批发代理</w:t>
      </w:r>
    </w:p>
    <w:p>
      <w:pPr>
        <w:ind w:firstLine="420"/>
      </w:pPr>
      <w:r>
        <w:rPr>
          <w:b w:val="0"/>
        </w:rPr>
        <w:t>2025年直销收入845.43亿元，同比增长12.96%，占比提升至50.1%，首次超过批发代理渠道。</w:t>
      </w:r>
      <w:r>
        <w:rPr>
          <w:b/>
        </w:rPr>
        <w:t>批发代理收入842.32亿元，同比下滑12.05%，反映了公司主动缩减传统批发额度、加大直营投放力度的战略导向。</w:t>
      </w:r>
    </w:p>
    <w:p/>
    <w:p>
      <w:r>
        <w:rPr>
          <w:b/>
          <w:sz w:val="20"/>
        </w:rPr>
        <w:t>分渠道数据</w:t>
      </w:r>
    </w:p>
    <w:tbl>
      <w:tblPr>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pPr>
              <w:jc w:val="center"/>
            </w:pPr>
            <w:r/>
            <w:r>
              <w:rPr>
                <w:rFonts w:ascii="SimHei" w:hAnsi="SimHei" w:eastAsia="SimHei"/>
                <w:b/>
                <w:color w:val="FFFFFF"/>
                <w:sz w:val="18"/>
              </w:rPr>
              <w:t>渠道</w:t>
            </w:r>
          </w:p>
        </w:tc>
        <w:tc>
          <w:tcPr>
            <w:tcW w:type="dxa" w:w="2161"/>
            <w:shd w:fill="1F4E79" w:val="clear"/>
          </w:tcPr>
          <w:p>
            <w:pPr>
              <w:jc w:val="center"/>
            </w:pPr>
            <w:r/>
            <w:r>
              <w:rPr>
                <w:rFonts w:ascii="SimHei" w:hAnsi="SimHei" w:eastAsia="SimHei"/>
                <w:b/>
                <w:color w:val="FFFFFF"/>
                <w:sz w:val="18"/>
              </w:rPr>
              <w:t>2025收入（亿元）</w:t>
            </w:r>
          </w:p>
        </w:tc>
        <w:tc>
          <w:tcPr>
            <w:tcW w:type="dxa" w:w="2161"/>
            <w:shd w:fill="1F4E79" w:val="clear"/>
          </w:tcPr>
          <w:p>
            <w:pPr>
              <w:jc w:val="center"/>
            </w:pPr>
            <w:r/>
            <w:r>
              <w:rPr>
                <w:rFonts w:ascii="SimHei" w:hAnsi="SimHei" w:eastAsia="SimHei"/>
                <w:b/>
                <w:color w:val="FFFFFF"/>
                <w:sz w:val="18"/>
              </w:rPr>
              <w:t>同比</w:t>
            </w:r>
          </w:p>
        </w:tc>
        <w:tc>
          <w:tcPr>
            <w:tcW w:type="dxa" w:w="2161"/>
            <w:shd w:fill="1F4E79" w:val="clear"/>
          </w:tcPr>
          <w:p>
            <w:pPr>
              <w:jc w:val="center"/>
            </w:pPr>
            <w:r/>
            <w:r>
              <w:rPr>
                <w:rFonts w:ascii="SimHei" w:hAnsi="SimHei" w:eastAsia="SimHei"/>
                <w:b/>
                <w:color w:val="FFFFFF"/>
                <w:sz w:val="18"/>
              </w:rPr>
              <w:t>占比</w:t>
            </w:r>
          </w:p>
        </w:tc>
      </w:tr>
      <w:tr>
        <w:tc>
          <w:tcPr>
            <w:tcW w:type="dxa" w:w="2161"/>
          </w:tcPr>
          <w:p>
            <w:pPr>
              <w:jc w:val="center"/>
            </w:pPr>
            <w:r/>
            <w:r>
              <w:rPr>
                <w:rFonts w:ascii="SimSun" w:hAnsi="SimSun" w:eastAsia="SimSun"/>
                <w:b w:val="0"/>
                <w:sz w:val="18"/>
              </w:rPr>
              <w:t>直销（含i茅台）</w:t>
            </w:r>
          </w:p>
        </w:tc>
        <w:tc>
          <w:tcPr>
            <w:tcW w:type="dxa" w:w="2161"/>
          </w:tcPr>
          <w:p>
            <w:pPr>
              <w:jc w:val="center"/>
            </w:pPr>
            <w:r/>
            <w:r>
              <w:rPr>
                <w:rFonts w:ascii="SimSun" w:hAnsi="SimSun" w:eastAsia="SimSun"/>
                <w:b w:val="0"/>
                <w:sz w:val="18"/>
              </w:rPr>
              <w:t>845.43</w:t>
            </w:r>
          </w:p>
        </w:tc>
        <w:tc>
          <w:tcPr>
            <w:tcW w:type="dxa" w:w="2161"/>
          </w:tcPr>
          <w:p>
            <w:pPr>
              <w:jc w:val="center"/>
            </w:pPr>
            <w:r/>
            <w:r>
              <w:rPr>
                <w:rFonts w:ascii="SimSun" w:hAnsi="SimSun" w:eastAsia="SimSun"/>
                <w:b w:val="0"/>
                <w:sz w:val="18"/>
              </w:rPr>
              <w:t>+12.96%</w:t>
            </w:r>
          </w:p>
        </w:tc>
        <w:tc>
          <w:tcPr>
            <w:tcW w:type="dxa" w:w="2161"/>
          </w:tcPr>
          <w:p>
            <w:pPr>
              <w:jc w:val="center"/>
            </w:pPr>
            <w:r/>
            <w:r>
              <w:rPr>
                <w:rFonts w:ascii="SimSun" w:hAnsi="SimSun" w:eastAsia="SimSun"/>
                <w:b w:val="0"/>
                <w:sz w:val="18"/>
              </w:rPr>
              <w:t>50.1%</w:t>
            </w:r>
          </w:p>
        </w:tc>
      </w:tr>
      <w:tr>
        <w:tc>
          <w:tcPr>
            <w:tcW w:type="dxa" w:w="2161"/>
          </w:tcPr>
          <w:p>
            <w:pPr>
              <w:jc w:val="center"/>
            </w:pPr>
            <w:r/>
            <w:r>
              <w:rPr>
                <w:rFonts w:ascii="SimSun" w:hAnsi="SimSun" w:eastAsia="SimSun"/>
                <w:b w:val="0"/>
                <w:sz w:val="18"/>
              </w:rPr>
              <w:t>批发代理</w:t>
            </w:r>
          </w:p>
        </w:tc>
        <w:tc>
          <w:tcPr>
            <w:tcW w:type="dxa" w:w="2161"/>
          </w:tcPr>
          <w:p>
            <w:pPr>
              <w:jc w:val="center"/>
            </w:pPr>
            <w:r/>
            <w:r>
              <w:rPr>
                <w:rFonts w:ascii="SimSun" w:hAnsi="SimSun" w:eastAsia="SimSun"/>
                <w:b w:val="0"/>
                <w:sz w:val="18"/>
              </w:rPr>
              <w:t>842.32</w:t>
            </w:r>
          </w:p>
        </w:tc>
        <w:tc>
          <w:tcPr>
            <w:tcW w:type="dxa" w:w="2161"/>
          </w:tcPr>
          <w:p>
            <w:pPr>
              <w:jc w:val="center"/>
            </w:pPr>
            <w:r/>
            <w:r>
              <w:rPr>
                <w:rFonts w:ascii="SimSun" w:hAnsi="SimSun" w:eastAsia="SimSun"/>
                <w:b w:val="0"/>
                <w:sz w:val="18"/>
              </w:rPr>
              <w:t>-12.05%</w:t>
            </w:r>
          </w:p>
        </w:tc>
        <w:tc>
          <w:tcPr>
            <w:tcW w:type="dxa" w:w="2161"/>
          </w:tcPr>
          <w:p>
            <w:pPr>
              <w:jc w:val="center"/>
            </w:pPr>
            <w:r/>
            <w:r>
              <w:rPr>
                <w:rFonts w:ascii="SimSun" w:hAnsi="SimSun" w:eastAsia="SimSun"/>
                <w:b w:val="0"/>
                <w:sz w:val="18"/>
              </w:rPr>
              <w:t>49.9%</w:t>
            </w:r>
          </w:p>
        </w:tc>
      </w:tr>
      <w:tr>
        <w:tc>
          <w:tcPr>
            <w:tcW w:type="dxa" w:w="2161"/>
          </w:tcPr>
          <w:p>
            <w:pPr>
              <w:jc w:val="center"/>
            </w:pPr>
            <w:r/>
            <w:r>
              <w:rPr>
                <w:rFonts w:ascii="SimSun" w:hAnsi="SimSun" w:eastAsia="SimSun"/>
                <w:b w:val="0"/>
                <w:sz w:val="18"/>
              </w:rPr>
              <w:t>其中：i茅台</w:t>
            </w:r>
          </w:p>
        </w:tc>
        <w:tc>
          <w:tcPr>
            <w:tcW w:type="dxa" w:w="2161"/>
          </w:tcPr>
          <w:p>
            <w:pPr>
              <w:jc w:val="center"/>
            </w:pPr>
            <w:r/>
            <w:r>
              <w:rPr>
                <w:rFonts w:ascii="SimSun" w:hAnsi="SimSun" w:eastAsia="SimSun"/>
                <w:b w:val="0"/>
                <w:sz w:val="18"/>
              </w:rPr>
              <w:t>130.31</w:t>
            </w:r>
          </w:p>
        </w:tc>
        <w:tc>
          <w:tcPr>
            <w:tcW w:type="dxa" w:w="2161"/>
          </w:tcPr>
          <w:p>
            <w:pPr>
              <w:jc w:val="center"/>
            </w:pPr>
            <w:r/>
            <w:r>
              <w:rPr>
                <w:rFonts w:ascii="SimSun" w:hAnsi="SimSun" w:eastAsia="SimSun"/>
                <w:b w:val="0"/>
                <w:sz w:val="18"/>
              </w:rPr>
              <w:t>-34.92%</w:t>
            </w:r>
          </w:p>
        </w:tc>
        <w:tc>
          <w:tcPr>
            <w:tcW w:type="dxa" w:w="2161"/>
          </w:tcPr>
          <w:p>
            <w:pPr>
              <w:jc w:val="center"/>
            </w:pPr>
            <w:r/>
            <w:r>
              <w:rPr>
                <w:rFonts w:ascii="SimSun" w:hAnsi="SimSun" w:eastAsia="SimSun"/>
                <w:b w:val="0"/>
                <w:sz w:val="18"/>
              </w:rPr>
              <w:t>7.7%</w:t>
            </w:r>
          </w:p>
        </w:tc>
      </w:tr>
    </w:tbl>
    <w:p/>
    <w:p>
      <w:r>
        <w:rPr>
          <w:rFonts w:ascii="SimHei" w:hAnsi="SimHei" w:eastAsia="SimHei"/>
          <w:b/>
          <w:sz w:val="22"/>
        </w:rPr>
        <w:t>分季度：Q4主动深蹲，单季利润下滑30%</w:t>
      </w:r>
    </w:p>
    <w:p>
      <w:pPr>
        <w:ind w:firstLine="420"/>
      </w:pPr>
      <w:r>
        <w:rPr>
          <w:b w:val="0"/>
        </w:rPr>
        <w:t>从季度节奏看，2025年呈现"前高后低"格局：前三季度营收、利润相对平稳，Q4出现大幅下滑，单季归母净利润176.93亿元，同比下降30%。</w:t>
      </w:r>
      <w:r>
        <w:rPr>
          <w:b/>
        </w:rPr>
        <w:t>这并非基本面恶化，而是公司主动控货去库存的结果——2025年下半年行业需求走弱，公司选择牺牲短期报表、维护渠道长期健康，是管理层"以退为进"的战略决策。</w:t>
      </w:r>
    </w:p>
    <w:p/>
    <w:p>
      <w:pPr>
        <w:pStyle w:val="Heading2"/>
      </w:pPr>
      <w:r>
        <w:rPr>
          <w:rFonts w:ascii="SimHei" w:hAnsi="SimHei" w:eastAsia="SimHei"/>
        </w:rPr>
        <w:t>三、利润分析：毛利率承压、费用率抬升，盈利质量仍优于同业</w:t>
      </w:r>
    </w:p>
    <w:p>
      <w:pPr>
        <w:ind w:firstLine="420"/>
      </w:pPr>
      <w:r>
        <w:rPr>
          <w:b w:val="0"/>
        </w:rPr>
        <w:t>全年毛利率91.18%，同比下滑0.82pct，主因：①非标茅台酒（如生肖、节气酒）放量降价拉低均价；②系列酒收入占比提升且毛利率较低。2026Q1毛利率进一步降至89.76%，同比下滑2.4pct，主要受飞天合同价提升前的结构性影响。</w:t>
      </w:r>
    </w:p>
    <w:p>
      <w:pPr>
        <w:ind w:firstLine="420"/>
      </w:pPr>
      <w:r>
        <w:rPr>
          <w:b w:val="0"/>
        </w:rPr>
        <w:t>费用端，2025年销售费用72.53亿元，同比大幅增长28.62%，主因公司在行业调整期加大市场推广投入，特别是i茅台平台运营及消费者教育活动。管理费用率相对稳定。整体期间费用率约16%，仍处于行业最低水平区间。</w:t>
      </w:r>
    </w:p>
    <w:p>
      <w:pPr>
        <w:ind w:firstLine="420"/>
      </w:pPr>
      <w:r>
        <w:rPr>
          <w:b w:val="0"/>
        </w:rPr>
        <w:t>净利率50.53%，同比下滑1.75pct，但绝对值仍在上市白酒企业中遥遥领先。加权平均ROE为32.53%，同比下滑3.49pct，在高基数下仍维持30%+的优异水平。</w:t>
      </w:r>
    </w:p>
    <w:p/>
    <w:p>
      <w:pPr>
        <w:pStyle w:val="Heading2"/>
      </w:pPr>
      <w:r>
        <w:rPr>
          <w:rFonts w:ascii="SimHei" w:hAnsi="SimHei" w:eastAsia="SimHei"/>
        </w:rPr>
        <w:t>四、资产负债与现金流：财务极度稳健，应收几乎为零</w:t>
      </w:r>
    </w:p>
    <w:p>
      <w:pPr>
        <w:ind w:firstLine="420"/>
      </w:pPr>
      <w:r>
        <w:rPr>
          <w:b w:val="0"/>
        </w:rPr>
        <w:t>资产负债表：公司总资产3,038亿元，归母净资产2,446亿元，资产负债率仅16.4%，远低于行业31%的中位值。</w:t>
      </w:r>
      <w:r>
        <w:rPr>
          <w:b/>
        </w:rPr>
        <w:t>应收账款仅260.9万元（同比下降86%），公司"先款后货"的模式确保回款质量无虞；存货614.27亿元，同比增长13%，主要系基酒储备增加，跌价准备计提比例接近零——茅台的存货是越存越值钱的"液体黄金"。</w:t>
      </w:r>
    </w:p>
    <w:p>
      <w:pPr>
        <w:ind w:firstLine="420"/>
      </w:pPr>
      <w:r>
        <w:rPr>
          <w:b w:val="0"/>
        </w:rPr>
        <w:t>合同负债同比下降16.53%，反映经销商打款意愿有所减弱，与行业调整期及公司主动控货有关。货币资金+拆出资金合计超1,500亿元，资金充裕程度冠绝A股。</w:t>
      </w:r>
    </w:p>
    <w:p>
      <w:pPr>
        <w:ind w:firstLine="420"/>
      </w:pPr>
      <w:r>
        <w:rPr>
          <w:b w:val="0"/>
        </w:rPr>
        <w:t>现金流：全年经营活动现金流净额615.22亿元，同比下滑33.46%，表面看似恶化，实则主要因财务公司吸收集团成员单位存款减少及不可随时支取的同业存款增加，而非酒业主业经营恶化。</w:t>
      </w:r>
    </w:p>
    <w:p>
      <w:pPr>
        <w:ind w:firstLine="420"/>
      </w:pPr>
      <w:r>
        <w:rPr>
          <w:b w:val="0"/>
        </w:rPr>
        <w:t>资本开支31.28亿元（同比-33%），产能扩张节奏放缓。2025年新增茅台酒基酒产能1,800吨、系列酒6,940吨，均将在2026年释放，为未来量增奠定基础。</w:t>
      </w:r>
    </w:p>
    <w:p/>
    <w:p>
      <w:pPr>
        <w:pStyle w:val="Heading2"/>
      </w:pPr>
      <w:r>
        <w:rPr>
          <w:rFonts w:ascii="SimHei" w:hAnsi="SimHei" w:eastAsia="SimHei"/>
        </w:rPr>
        <w:t>五、2026Q1：营收重回增长，i茅台爆发式增长</w:t>
      </w:r>
    </w:p>
    <w:p>
      <w:pPr>
        <w:ind w:firstLine="420"/>
      </w:pPr>
      <w:r>
        <w:rPr>
          <w:b w:val="0"/>
        </w:rPr>
        <w:t>2026年一季度营收547亿元，同比增长6.34%，营收端重回正增长通道，验证了我们"主动出清后恢复性增长"的判断。但归母净利润增速（+1.47%）显著低于营收增速，"增收不增利"的短期现象值得关注。</w:t>
      </w:r>
    </w:p>
    <w:p>
      <w:pPr>
        <w:ind w:firstLine="420"/>
      </w:pPr>
      <w:r>
        <w:rPr>
          <w:b/>
        </w:rPr>
        <w:t>分产品看，茅台酒收入约460亿元（+5.6%），系列酒约79亿元（-12.2%），系列酒仍在调整。渠道端，i茅台收入216亿元，同比暴增267%，成为2026年最大亮点——公司已将i茅台定位升级为直达消费者的核心载体，1499元飞天茅台常态化投放。</w:t>
      </w:r>
    </w:p>
    <w:p/>
    <w:p>
      <w:pPr>
        <w:pStyle w:val="Heading2"/>
      </w:pPr>
      <w:r>
        <w:rPr>
          <w:rFonts w:ascii="SimHei" w:hAnsi="SimHei" w:eastAsia="SimHei"/>
        </w:rPr>
        <w:t>六、2026年展望：市场化改革破局，C端转型是关键</w:t>
      </w:r>
    </w:p>
    <w:p>
      <w:r>
        <w:rPr>
          <w:rFonts w:ascii="SimHei" w:hAnsi="SimHei" w:eastAsia="SimHei"/>
          <w:b/>
          <w:sz w:val="22"/>
        </w:rPr>
        <w:t>改革核心：《2026年贵州茅台酒市场化运营方案》正式落地</w:t>
      </w:r>
    </w:p>
    <w:p>
      <w:pPr>
        <w:ind w:firstLine="420"/>
      </w:pPr>
      <w:r>
        <w:rPr>
          <w:b w:val="0"/>
        </w:rPr>
        <w:t>2026年是茅台的"市场化改革元年"。核心改革要点包括：①产品体系回归"金字塔型"，打造飞天+精品双大单品；②运营模式全面向C端倾斜；③渠道引入代售+寄售模式，构建自营、经销、代售、预售四维体系；④价格机制"随行就市"，自营零售价动态调整。</w:t>
      </w:r>
    </w:p>
    <w:p>
      <w:pPr>
        <w:ind w:firstLine="420"/>
      </w:pPr>
      <w:r>
        <w:rPr>
          <w:b/>
        </w:rPr>
        <w:t>值得关注的是，2026年3月31日起，飞天茅台合同价由1,169元提至1,269元（+8.6%），自营零售价由1,499元调至1,539元。这是茅台在行业低谷期彰显品牌信心的重要信号，将为2026年业绩增长提供直接支撑。</w:t>
      </w:r>
    </w:p>
    <w:p/>
    <w:p>
      <w:r>
        <w:rPr>
          <w:rFonts w:ascii="SimHei" w:hAnsi="SimHei" w:eastAsia="SimHei"/>
          <w:b/>
          <w:sz w:val="22"/>
        </w:rPr>
        <w:t>批价展望：L型筑底，下半年有望触底回升</w:t>
      </w:r>
    </w:p>
    <w:p>
      <w:pPr>
        <w:ind w:firstLine="420"/>
      </w:pPr>
      <w:r>
        <w:rPr>
          <w:b w:val="0"/>
        </w:rPr>
        <w:t>飞天批价经历近两年的持续下跌后，金融属性溢价已基本挤出，当前已进入L型底部区间。i茅台1,499元作为价格锚点，叠加合同价提升，批价进一步下行空间有限。主流券商普遍预计2026年下半年批价有望超预期回升，带动行业整体信心修复。</w:t>
      </w:r>
    </w:p>
    <w:p/>
    <w:p>
      <w:r>
        <w:rPr>
          <w:rFonts w:ascii="SimHei" w:hAnsi="SimHei" w:eastAsia="SimHei"/>
          <w:b/>
          <w:sz w:val="22"/>
        </w:rPr>
        <w:t>盈利预测调整</w:t>
      </w:r>
    </w:p>
    <w:p>
      <w:pPr>
        <w:ind w:firstLine="420"/>
      </w:pPr>
      <w:r>
        <w:rPr>
          <w:b w:val="0"/>
        </w:rPr>
        <w:t>考虑到2025年实际业绩低于此前预期，以及2026年改革推进中的不确定性，我们下调盈利预测。</w:t>
      </w:r>
    </w:p>
    <w:p>
      <w:r>
        <w:rPr>
          <w:b/>
          <w:sz w:val="20"/>
        </w:rPr>
        <w:t>表3：盈利预测调整</w:t>
      </w:r>
    </w:p>
    <w:tbl>
      <w:tblPr>
        <w:tblW w:type="auto" w:w="0"/>
        <w:jc w:val="center"/>
        <w:tblLook w:firstColumn="1" w:firstRow="1" w:lastColumn="0" w:lastRow="0" w:noHBand="0" w:noVBand="1" w:val="04A0"/>
      </w:tblPr>
      <w:tblGrid>
        <w:gridCol w:w="1729"/>
        <w:gridCol w:w="1729"/>
        <w:gridCol w:w="1729"/>
        <w:gridCol w:w="1729"/>
        <w:gridCol w:w="1729"/>
      </w:tblGrid>
      <w:tr>
        <w:tc>
          <w:tcPr>
            <w:tcW w:type="dxa" w:w="1729"/>
            <w:shd w:fill="1F4E79" w:val="clear"/>
          </w:tcPr>
          <w:p>
            <w:pPr>
              <w:jc w:val="center"/>
            </w:pPr>
            <w:r/>
            <w:r>
              <w:rPr>
                <w:rFonts w:ascii="SimHei" w:hAnsi="SimHei" w:eastAsia="SimHei"/>
                <w:b/>
                <w:color w:val="FFFFFF"/>
                <w:sz w:val="18"/>
              </w:rPr>
              <w:t>项目</w:t>
            </w:r>
          </w:p>
        </w:tc>
        <w:tc>
          <w:tcPr>
            <w:tcW w:type="dxa" w:w="1729"/>
            <w:shd w:fill="1F4E79" w:val="clear"/>
          </w:tcPr>
          <w:p>
            <w:pPr>
              <w:jc w:val="center"/>
            </w:pPr>
            <w:r/>
            <w:r>
              <w:rPr>
                <w:rFonts w:ascii="SimHei" w:hAnsi="SimHei" w:eastAsia="SimHei"/>
                <w:b/>
                <w:color w:val="FFFFFF"/>
                <w:sz w:val="18"/>
              </w:rPr>
              <w:t>调整前预测</w:t>
            </w:r>
          </w:p>
        </w:tc>
        <w:tc>
          <w:tcPr>
            <w:tcW w:type="dxa" w:w="1729"/>
            <w:shd w:fill="1F4E79" w:val="clear"/>
          </w:tcPr>
          <w:p>
            <w:pPr>
              <w:jc w:val="center"/>
            </w:pPr>
            <w:r/>
            <w:r>
              <w:rPr>
                <w:rFonts w:ascii="SimHei" w:hAnsi="SimHei" w:eastAsia="SimHei"/>
                <w:b/>
                <w:color w:val="FFFFFF"/>
                <w:sz w:val="18"/>
              </w:rPr>
              <w:t>调整后预测</w:t>
            </w:r>
          </w:p>
        </w:tc>
        <w:tc>
          <w:tcPr>
            <w:tcW w:type="dxa" w:w="1729"/>
            <w:shd w:fill="1F4E79" w:val="clear"/>
          </w:tcPr>
          <w:p>
            <w:pPr>
              <w:jc w:val="center"/>
            </w:pPr>
            <w:r/>
            <w:r>
              <w:rPr>
                <w:rFonts w:ascii="SimHei" w:hAnsi="SimHei" w:eastAsia="SimHei"/>
                <w:b/>
                <w:color w:val="FFFFFF"/>
                <w:sz w:val="18"/>
              </w:rPr>
              <w:t>变化</w:t>
            </w:r>
          </w:p>
        </w:tc>
        <w:tc>
          <w:tcPr>
            <w:tcW w:type="dxa" w:w="1729"/>
            <w:shd w:fill="1F4E79" w:val="clear"/>
          </w:tcPr>
          <w:p>
            <w:pPr>
              <w:jc w:val="center"/>
            </w:pPr>
            <w:r/>
            <w:r>
              <w:rPr>
                <w:rFonts w:ascii="SimHei" w:hAnsi="SimHei" w:eastAsia="SimHei"/>
                <w:b/>
                <w:color w:val="FFFFFF"/>
                <w:sz w:val="18"/>
              </w:rPr>
              <w:t>主要驱动</w:t>
            </w:r>
          </w:p>
        </w:tc>
      </w:tr>
      <w:tr>
        <w:tc>
          <w:tcPr>
            <w:tcW w:type="dxa" w:w="1729"/>
          </w:tcPr>
          <w:p>
            <w:pPr>
              <w:jc w:val="center"/>
            </w:pPr>
            <w:r/>
            <w:r>
              <w:rPr>
                <w:rFonts w:ascii="SimSun" w:hAnsi="SimSun" w:eastAsia="SimSun"/>
                <w:b w:val="0"/>
                <w:sz w:val="18"/>
              </w:rPr>
              <w:t>2026E营收（亿元）</w:t>
            </w:r>
          </w:p>
        </w:tc>
        <w:tc>
          <w:tcPr>
            <w:tcW w:type="dxa" w:w="1729"/>
          </w:tcPr>
          <w:p>
            <w:pPr>
              <w:jc w:val="center"/>
            </w:pPr>
            <w:r/>
            <w:r>
              <w:rPr>
                <w:rFonts w:ascii="SimSun" w:hAnsi="SimSun" w:eastAsia="SimSun"/>
                <w:b w:val="0"/>
                <w:sz w:val="18"/>
              </w:rPr>
              <w:t>1,880</w:t>
            </w:r>
          </w:p>
        </w:tc>
        <w:tc>
          <w:tcPr>
            <w:tcW w:type="dxa" w:w="1729"/>
          </w:tcPr>
          <w:p>
            <w:pPr>
              <w:jc w:val="center"/>
            </w:pPr>
            <w:r/>
            <w:r>
              <w:rPr>
                <w:rFonts w:ascii="SimSun" w:hAnsi="SimSun" w:eastAsia="SimSun"/>
                <w:b w:val="0"/>
                <w:sz w:val="18"/>
              </w:rPr>
              <w:t>1,820</w:t>
            </w:r>
          </w:p>
        </w:tc>
        <w:tc>
          <w:tcPr>
            <w:tcW w:type="dxa" w:w="1729"/>
          </w:tcPr>
          <w:p>
            <w:pPr>
              <w:jc w:val="center"/>
            </w:pPr>
            <w:r/>
            <w:r>
              <w:rPr>
                <w:rFonts w:ascii="SimSun" w:hAnsi="SimSun" w:eastAsia="SimSun"/>
                <w:b w:val="0"/>
                <w:sz w:val="18"/>
              </w:rPr>
              <w:t>-3.2%</w:t>
            </w:r>
          </w:p>
        </w:tc>
        <w:tc>
          <w:tcPr>
            <w:tcW w:type="dxa" w:w="1729"/>
          </w:tcPr>
          <w:p>
            <w:pPr>
              <w:jc w:val="center"/>
            </w:pPr>
            <w:r/>
            <w:r>
              <w:rPr>
                <w:rFonts w:ascii="SimSun" w:hAnsi="SimSun" w:eastAsia="SimSun"/>
                <w:b w:val="0"/>
                <w:sz w:val="18"/>
              </w:rPr>
              <w:t>改革红利释放、量价齐升</w:t>
            </w:r>
          </w:p>
        </w:tc>
      </w:tr>
      <w:tr>
        <w:tc>
          <w:tcPr>
            <w:tcW w:type="dxa" w:w="1729"/>
          </w:tcPr>
          <w:p>
            <w:pPr>
              <w:jc w:val="center"/>
            </w:pPr>
            <w:r/>
            <w:r>
              <w:rPr>
                <w:rFonts w:ascii="SimSun" w:hAnsi="SimSun" w:eastAsia="SimSun"/>
                <w:b w:val="0"/>
                <w:sz w:val="18"/>
              </w:rPr>
              <w:t>2026E归母净利（亿元）</w:t>
            </w:r>
          </w:p>
        </w:tc>
        <w:tc>
          <w:tcPr>
            <w:tcW w:type="dxa" w:w="1729"/>
          </w:tcPr>
          <w:p>
            <w:pPr>
              <w:jc w:val="center"/>
            </w:pPr>
            <w:r/>
            <w:r>
              <w:rPr>
                <w:rFonts w:ascii="SimSun" w:hAnsi="SimSun" w:eastAsia="SimSun"/>
                <w:b w:val="0"/>
                <w:sz w:val="18"/>
              </w:rPr>
              <w:t>917</w:t>
            </w:r>
          </w:p>
        </w:tc>
        <w:tc>
          <w:tcPr>
            <w:tcW w:type="dxa" w:w="1729"/>
          </w:tcPr>
          <w:p>
            <w:pPr>
              <w:jc w:val="center"/>
            </w:pPr>
            <w:r/>
            <w:r>
              <w:rPr>
                <w:rFonts w:ascii="SimSun" w:hAnsi="SimSun" w:eastAsia="SimSun"/>
                <w:b w:val="0"/>
                <w:sz w:val="18"/>
              </w:rPr>
              <w:t>837</w:t>
            </w:r>
          </w:p>
        </w:tc>
        <w:tc>
          <w:tcPr>
            <w:tcW w:type="dxa" w:w="1729"/>
          </w:tcPr>
          <w:p>
            <w:pPr>
              <w:jc w:val="center"/>
            </w:pPr>
            <w:r/>
            <w:r>
              <w:rPr>
                <w:rFonts w:ascii="SimSun" w:hAnsi="SimSun" w:eastAsia="SimSun"/>
                <w:b w:val="0"/>
                <w:sz w:val="18"/>
              </w:rPr>
              <w:t>-8.7%</w:t>
            </w:r>
          </w:p>
        </w:tc>
        <w:tc>
          <w:tcPr>
            <w:tcW w:type="dxa" w:w="1729"/>
          </w:tcPr>
          <w:p>
            <w:pPr>
              <w:jc w:val="center"/>
            </w:pPr>
            <w:r/>
            <w:r>
              <w:rPr>
                <w:rFonts w:ascii="SimSun" w:hAnsi="SimSun" w:eastAsia="SimSun"/>
                <w:b w:val="0"/>
                <w:sz w:val="18"/>
              </w:rPr>
              <w:t>毛利率承压、费用投入加大</w:t>
            </w:r>
          </w:p>
        </w:tc>
      </w:tr>
      <w:tr>
        <w:tc>
          <w:tcPr>
            <w:tcW w:type="dxa" w:w="1729"/>
          </w:tcPr>
          <w:p>
            <w:pPr>
              <w:jc w:val="center"/>
            </w:pPr>
            <w:r/>
            <w:r>
              <w:rPr>
                <w:rFonts w:ascii="SimSun" w:hAnsi="SimSun" w:eastAsia="SimSun"/>
                <w:b w:val="0"/>
                <w:sz w:val="18"/>
              </w:rPr>
              <w:t>2026E EPS（元）</w:t>
            </w:r>
          </w:p>
        </w:tc>
        <w:tc>
          <w:tcPr>
            <w:tcW w:type="dxa" w:w="1729"/>
          </w:tcPr>
          <w:p>
            <w:pPr>
              <w:jc w:val="center"/>
            </w:pPr>
            <w:r/>
            <w:r>
              <w:rPr>
                <w:rFonts w:ascii="SimSun" w:hAnsi="SimSun" w:eastAsia="SimSun"/>
                <w:b w:val="0"/>
                <w:sz w:val="18"/>
              </w:rPr>
              <w:t>73.2</w:t>
            </w:r>
          </w:p>
        </w:tc>
        <w:tc>
          <w:tcPr>
            <w:tcW w:type="dxa" w:w="1729"/>
          </w:tcPr>
          <w:p>
            <w:pPr>
              <w:jc w:val="center"/>
            </w:pPr>
            <w:r/>
            <w:r>
              <w:rPr>
                <w:rFonts w:ascii="SimSun" w:hAnsi="SimSun" w:eastAsia="SimSun"/>
                <w:b w:val="0"/>
                <w:sz w:val="18"/>
              </w:rPr>
              <w:t>66.8</w:t>
            </w:r>
          </w:p>
        </w:tc>
        <w:tc>
          <w:tcPr>
            <w:tcW w:type="dxa" w:w="1729"/>
          </w:tcPr>
          <w:p>
            <w:pPr>
              <w:jc w:val="center"/>
            </w:pPr>
            <w:r/>
            <w:r>
              <w:rPr>
                <w:rFonts w:ascii="SimSun" w:hAnsi="SimSun" w:eastAsia="SimSun"/>
                <w:b w:val="0"/>
                <w:sz w:val="18"/>
              </w:rPr>
              <w:t>-8.7%</w:t>
            </w:r>
          </w:p>
        </w:tc>
        <w:tc>
          <w:tcPr>
            <w:tcW w:type="dxa" w:w="1729"/>
          </w:tcPr>
          <w:p>
            <w:pPr>
              <w:jc w:val="center"/>
            </w:pPr>
            <w:r/>
            <w:r>
              <w:rPr>
                <w:rFonts w:ascii="SimSun" w:hAnsi="SimSun" w:eastAsia="SimSun"/>
                <w:b w:val="0"/>
                <w:sz w:val="18"/>
              </w:rPr>
              <w:t>同步下调</w:t>
            </w:r>
          </w:p>
        </w:tc>
      </w:tr>
      <w:tr>
        <w:tc>
          <w:tcPr>
            <w:tcW w:type="dxa" w:w="1729"/>
          </w:tcPr>
          <w:p>
            <w:pPr>
              <w:jc w:val="center"/>
            </w:pPr>
            <w:r/>
            <w:r>
              <w:rPr>
                <w:rFonts w:ascii="SimSun" w:hAnsi="SimSun" w:eastAsia="SimSun"/>
                <w:b w:val="0"/>
                <w:sz w:val="18"/>
              </w:rPr>
              <w:t>2027E营收（亿元）</w:t>
            </w:r>
          </w:p>
        </w:tc>
        <w:tc>
          <w:tcPr>
            <w:tcW w:type="dxa" w:w="1729"/>
          </w:tcPr>
          <w:p>
            <w:pPr>
              <w:jc w:val="center"/>
            </w:pPr>
            <w:r/>
            <w:r>
              <w:rPr>
                <w:rFonts w:ascii="SimSun" w:hAnsi="SimSun" w:eastAsia="SimSun"/>
                <w:b w:val="0"/>
                <w:sz w:val="18"/>
              </w:rPr>
              <w:t>2,010</w:t>
            </w:r>
          </w:p>
        </w:tc>
        <w:tc>
          <w:tcPr>
            <w:tcW w:type="dxa" w:w="1729"/>
          </w:tcPr>
          <w:p>
            <w:pPr>
              <w:jc w:val="center"/>
            </w:pPr>
            <w:r/>
            <w:r>
              <w:rPr>
                <w:rFonts w:ascii="SimSun" w:hAnsi="SimSun" w:eastAsia="SimSun"/>
                <w:b w:val="0"/>
                <w:sz w:val="18"/>
              </w:rPr>
              <w:t>1,920</w:t>
            </w:r>
          </w:p>
        </w:tc>
        <w:tc>
          <w:tcPr>
            <w:tcW w:type="dxa" w:w="1729"/>
          </w:tcPr>
          <w:p>
            <w:pPr>
              <w:jc w:val="center"/>
            </w:pPr>
            <w:r/>
            <w:r>
              <w:rPr>
                <w:rFonts w:ascii="SimSun" w:hAnsi="SimSun" w:eastAsia="SimSun"/>
                <w:b w:val="0"/>
                <w:sz w:val="18"/>
              </w:rPr>
              <w:t>-4.5%</w:t>
            </w:r>
          </w:p>
        </w:tc>
        <w:tc>
          <w:tcPr>
            <w:tcW w:type="dxa" w:w="1729"/>
          </w:tcPr>
          <w:p>
            <w:pPr>
              <w:jc w:val="center"/>
            </w:pPr>
            <w:r/>
            <w:r>
              <w:rPr>
                <w:rFonts w:ascii="SimSun" w:hAnsi="SimSun" w:eastAsia="SimSun"/>
                <w:b w:val="0"/>
                <w:sz w:val="18"/>
              </w:rPr>
              <w:t>基酒放量、直营占比提升</w:t>
            </w:r>
          </w:p>
        </w:tc>
      </w:tr>
      <w:tr>
        <w:tc>
          <w:tcPr>
            <w:tcW w:type="dxa" w:w="1729"/>
          </w:tcPr>
          <w:p>
            <w:pPr>
              <w:jc w:val="center"/>
            </w:pPr>
            <w:r/>
            <w:r>
              <w:rPr>
                <w:rFonts w:ascii="SimSun" w:hAnsi="SimSun" w:eastAsia="SimSun"/>
                <w:b w:val="0"/>
                <w:sz w:val="18"/>
              </w:rPr>
              <w:t>2027E归母净利（亿元）</w:t>
            </w:r>
          </w:p>
        </w:tc>
        <w:tc>
          <w:tcPr>
            <w:tcW w:type="dxa" w:w="1729"/>
          </w:tcPr>
          <w:p>
            <w:pPr>
              <w:jc w:val="center"/>
            </w:pPr>
            <w:r/>
            <w:r>
              <w:rPr>
                <w:rFonts w:ascii="SimSun" w:hAnsi="SimSun" w:eastAsia="SimSun"/>
                <w:b w:val="0"/>
                <w:sz w:val="18"/>
              </w:rPr>
              <w:t>965</w:t>
            </w:r>
          </w:p>
        </w:tc>
        <w:tc>
          <w:tcPr>
            <w:tcW w:type="dxa" w:w="1729"/>
          </w:tcPr>
          <w:p>
            <w:pPr>
              <w:jc w:val="center"/>
            </w:pPr>
            <w:r/>
            <w:r>
              <w:rPr>
                <w:rFonts w:ascii="SimSun" w:hAnsi="SimSun" w:eastAsia="SimSun"/>
                <w:b w:val="0"/>
                <w:sz w:val="18"/>
              </w:rPr>
              <w:t>871</w:t>
            </w:r>
          </w:p>
        </w:tc>
        <w:tc>
          <w:tcPr>
            <w:tcW w:type="dxa" w:w="1729"/>
          </w:tcPr>
          <w:p>
            <w:pPr>
              <w:jc w:val="center"/>
            </w:pPr>
            <w:r/>
            <w:r>
              <w:rPr>
                <w:rFonts w:ascii="SimSun" w:hAnsi="SimSun" w:eastAsia="SimSun"/>
                <w:b w:val="0"/>
                <w:sz w:val="18"/>
              </w:rPr>
              <w:t>-9.7%</w:t>
            </w:r>
          </w:p>
        </w:tc>
        <w:tc>
          <w:tcPr>
            <w:tcW w:type="dxa" w:w="1729"/>
          </w:tcPr>
          <w:p>
            <w:pPr>
              <w:jc w:val="center"/>
            </w:pPr>
            <w:r/>
            <w:r>
              <w:rPr>
                <w:rFonts w:ascii="SimSun" w:hAnsi="SimSun" w:eastAsia="SimSun"/>
                <w:b w:val="0"/>
                <w:sz w:val="18"/>
              </w:rPr>
              <w:t>规模效应逐步体现</w:t>
            </w:r>
          </w:p>
        </w:tc>
      </w:tr>
      <w:tr>
        <w:tc>
          <w:tcPr>
            <w:tcW w:type="dxa" w:w="1729"/>
          </w:tcPr>
          <w:p>
            <w:pPr>
              <w:jc w:val="center"/>
            </w:pPr>
            <w:r/>
            <w:r>
              <w:rPr>
                <w:rFonts w:ascii="SimSun" w:hAnsi="SimSun" w:eastAsia="SimSun"/>
                <w:b w:val="0"/>
                <w:sz w:val="18"/>
              </w:rPr>
              <w:t>2027E EPS（元）</w:t>
            </w:r>
          </w:p>
        </w:tc>
        <w:tc>
          <w:tcPr>
            <w:tcW w:type="dxa" w:w="1729"/>
          </w:tcPr>
          <w:p>
            <w:pPr>
              <w:jc w:val="center"/>
            </w:pPr>
            <w:r/>
            <w:r>
              <w:rPr>
                <w:rFonts w:ascii="SimSun" w:hAnsi="SimSun" w:eastAsia="SimSun"/>
                <w:b w:val="0"/>
                <w:sz w:val="18"/>
              </w:rPr>
              <w:t>77.0</w:t>
            </w:r>
          </w:p>
        </w:tc>
        <w:tc>
          <w:tcPr>
            <w:tcW w:type="dxa" w:w="1729"/>
          </w:tcPr>
          <w:p>
            <w:pPr>
              <w:jc w:val="center"/>
            </w:pPr>
            <w:r/>
            <w:r>
              <w:rPr>
                <w:rFonts w:ascii="SimSun" w:hAnsi="SimSun" w:eastAsia="SimSun"/>
                <w:b w:val="0"/>
                <w:sz w:val="18"/>
              </w:rPr>
              <w:t>69.5</w:t>
            </w:r>
          </w:p>
        </w:tc>
        <w:tc>
          <w:tcPr>
            <w:tcW w:type="dxa" w:w="1729"/>
          </w:tcPr>
          <w:p>
            <w:pPr>
              <w:jc w:val="center"/>
            </w:pPr>
            <w:r/>
            <w:r>
              <w:rPr>
                <w:rFonts w:ascii="SimSun" w:hAnsi="SimSun" w:eastAsia="SimSun"/>
                <w:b w:val="0"/>
                <w:sz w:val="18"/>
              </w:rPr>
              <w:t>-9.7%</w:t>
            </w:r>
          </w:p>
        </w:tc>
        <w:tc>
          <w:tcPr>
            <w:tcW w:type="dxa" w:w="1729"/>
          </w:tcPr>
          <w:p>
            <w:pPr>
              <w:jc w:val="center"/>
            </w:pPr>
            <w:r/>
            <w:r>
              <w:rPr>
                <w:rFonts w:ascii="SimSun" w:hAnsi="SimSun" w:eastAsia="SimSun"/>
                <w:b w:val="0"/>
                <w:sz w:val="18"/>
              </w:rPr>
              <w:t>同步下调</w:t>
            </w:r>
          </w:p>
        </w:tc>
      </w:tr>
    </w:tbl>
    <w:p/>
    <w:p>
      <w:pPr>
        <w:pStyle w:val="Heading2"/>
      </w:pPr>
      <w:r>
        <w:rPr>
          <w:rFonts w:ascii="SimHei" w:hAnsi="SimHei" w:eastAsia="SimHei"/>
        </w:rPr>
        <w:t>七、估值与投资建议：安全边际充足，维持跑赢行业</w:t>
      </w:r>
    </w:p>
    <w:p>
      <w:pPr>
        <w:ind w:firstLine="420"/>
      </w:pPr>
      <w:r>
        <w:rPr>
          <w:b w:val="0"/>
        </w:rPr>
        <w:t>当前股价1,272-1,310元，对应2025年实际EPS 65.66元的PE约19.3-19.8倍，对应2026E EPS约19.0-19.6倍。</w:t>
      </w:r>
    </w:p>
    <w:p>
      <w:pPr>
        <w:ind w:firstLine="420"/>
      </w:pPr>
      <w:r>
        <w:rPr>
          <w:b/>
        </w:rPr>
        <w:t>估值已回落至近十年最低区间。从历史维度看，茅台PE长期在25-40倍区间运行，当前不足20倍的估值反映了市场对行业需求疲软和公司短期业绩下行的充分定价。我们认为当前估值已提供充足安全边际。</w:t>
      </w:r>
    </w:p>
    <w:p>
      <w:pPr>
        <w:ind w:firstLine="420"/>
      </w:pPr>
      <w:r>
        <w:rPr>
          <w:b w:val="0"/>
        </w:rPr>
        <w:t>从股息率角度看，2025年度每股分红约51.82元（10派279.93元），对应股息率约3.9-4.1%，在公司持续高分红和回购注销（仍在进行中）的背景下，对长期投资者具备显著吸引力。</w:t>
      </w:r>
    </w:p>
    <w:p/>
    <w:p>
      <w:r>
        <w:rPr>
          <w:b/>
          <w:sz w:val="20"/>
        </w:rPr>
        <w:t>估值表</w:t>
      </w:r>
    </w:p>
    <w:tbl>
      <w:tblPr>
        <w:tblW w:type="auto" w:w="0"/>
        <w:jc w:val="center"/>
        <w:tblLook w:firstColumn="1" w:firstRow="1" w:lastColumn="0" w:lastRow="0" w:noHBand="0" w:noVBand="1" w:val="04A0"/>
      </w:tblPr>
      <w:tblGrid>
        <w:gridCol w:w="1729"/>
        <w:gridCol w:w="1729"/>
        <w:gridCol w:w="1729"/>
        <w:gridCol w:w="1729"/>
        <w:gridCol w:w="1729"/>
      </w:tblGrid>
      <w:tr>
        <w:tc>
          <w:tcPr>
            <w:tcW w:type="dxa" w:w="1729"/>
            <w:shd w:fill="1F4E79" w:val="clear"/>
          </w:tcPr>
          <w:p>
            <w:pPr>
              <w:jc w:val="center"/>
            </w:pPr>
            <w:r/>
            <w:r>
              <w:rPr>
                <w:rFonts w:ascii="SimHei" w:hAnsi="SimHei" w:eastAsia="SimHei"/>
                <w:b/>
                <w:color w:val="FFFFFF"/>
                <w:sz w:val="18"/>
              </w:rPr>
              <w:t>估值指标</w:t>
            </w:r>
          </w:p>
        </w:tc>
        <w:tc>
          <w:tcPr>
            <w:tcW w:type="dxa" w:w="1729"/>
            <w:shd w:fill="1F4E79" w:val="clear"/>
          </w:tcPr>
          <w:p>
            <w:pPr>
              <w:jc w:val="center"/>
            </w:pPr>
            <w:r/>
            <w:r>
              <w:rPr>
                <w:rFonts w:ascii="SimHei" w:hAnsi="SimHei" w:eastAsia="SimHei"/>
                <w:b/>
                <w:color w:val="FFFFFF"/>
                <w:sz w:val="18"/>
              </w:rPr>
              <w:t>当前</w:t>
            </w:r>
          </w:p>
        </w:tc>
        <w:tc>
          <w:tcPr>
            <w:tcW w:type="dxa" w:w="1729"/>
            <w:shd w:fill="1F4E79" w:val="clear"/>
          </w:tcPr>
          <w:p>
            <w:pPr>
              <w:jc w:val="center"/>
            </w:pPr>
            <w:r/>
            <w:r>
              <w:rPr>
                <w:rFonts w:ascii="SimHei" w:hAnsi="SimHei" w:eastAsia="SimHei"/>
                <w:b/>
                <w:color w:val="FFFFFF"/>
                <w:sz w:val="18"/>
              </w:rPr>
              <w:t>历史中位数</w:t>
            </w:r>
          </w:p>
        </w:tc>
        <w:tc>
          <w:tcPr>
            <w:tcW w:type="dxa" w:w="1729"/>
            <w:shd w:fill="1F4E79" w:val="clear"/>
          </w:tcPr>
          <w:p>
            <w:pPr>
              <w:jc w:val="center"/>
            </w:pPr>
            <w:r/>
            <w:r>
              <w:rPr>
                <w:rFonts w:ascii="SimHei" w:hAnsi="SimHei" w:eastAsia="SimHei"/>
                <w:b/>
                <w:color w:val="FFFFFF"/>
                <w:sz w:val="18"/>
              </w:rPr>
              <w:t>行业平均</w:t>
            </w:r>
          </w:p>
        </w:tc>
        <w:tc>
          <w:tcPr>
            <w:tcW w:type="dxa" w:w="1729"/>
            <w:shd w:fill="1F4E79" w:val="clear"/>
          </w:tcPr>
          <w:p>
            <w:pPr>
              <w:jc w:val="center"/>
            </w:pPr>
            <w:r/>
            <w:r>
              <w:rPr>
                <w:rFonts w:ascii="SimHei" w:hAnsi="SimHei" w:eastAsia="SimHei"/>
                <w:b/>
                <w:color w:val="FFFFFF"/>
                <w:sz w:val="18"/>
              </w:rPr>
              <w:t>评价</w:t>
            </w:r>
          </w:p>
        </w:tc>
      </w:tr>
      <w:tr>
        <w:tc>
          <w:tcPr>
            <w:tcW w:type="dxa" w:w="1729"/>
          </w:tcPr>
          <w:p>
            <w:pPr>
              <w:jc w:val="center"/>
            </w:pPr>
            <w:r/>
            <w:r>
              <w:rPr>
                <w:rFonts w:ascii="SimSun" w:hAnsi="SimSun" w:eastAsia="SimSun"/>
                <w:b w:val="0"/>
                <w:sz w:val="18"/>
              </w:rPr>
              <w:t>PE(TTM)</w:t>
            </w:r>
          </w:p>
        </w:tc>
        <w:tc>
          <w:tcPr>
            <w:tcW w:type="dxa" w:w="1729"/>
          </w:tcPr>
          <w:p>
            <w:pPr>
              <w:jc w:val="center"/>
            </w:pPr>
            <w:r/>
            <w:r>
              <w:rPr>
                <w:rFonts w:ascii="SimSun" w:hAnsi="SimSun" w:eastAsia="SimSun"/>
                <w:b w:val="0"/>
                <w:sz w:val="18"/>
              </w:rPr>
              <w:t>19.3x</w:t>
            </w:r>
          </w:p>
        </w:tc>
        <w:tc>
          <w:tcPr>
            <w:tcW w:type="dxa" w:w="1729"/>
          </w:tcPr>
          <w:p>
            <w:pPr>
              <w:jc w:val="center"/>
            </w:pPr>
            <w:r/>
            <w:r>
              <w:rPr>
                <w:rFonts w:ascii="SimSun" w:hAnsi="SimSun" w:eastAsia="SimSun"/>
                <w:b w:val="0"/>
                <w:sz w:val="18"/>
              </w:rPr>
              <w:t>30x</w:t>
            </w:r>
          </w:p>
        </w:tc>
        <w:tc>
          <w:tcPr>
            <w:tcW w:type="dxa" w:w="1729"/>
          </w:tcPr>
          <w:p>
            <w:pPr>
              <w:jc w:val="center"/>
            </w:pPr>
            <w:r/>
            <w:r>
              <w:rPr>
                <w:rFonts w:ascii="SimSun" w:hAnsi="SimSun" w:eastAsia="SimSun"/>
                <w:b w:val="0"/>
                <w:sz w:val="18"/>
              </w:rPr>
              <w:t>18-22x</w:t>
            </w:r>
          </w:p>
        </w:tc>
        <w:tc>
          <w:tcPr>
            <w:tcW w:type="dxa" w:w="1729"/>
          </w:tcPr>
          <w:p>
            <w:pPr>
              <w:jc w:val="center"/>
            </w:pPr>
            <w:r/>
            <w:r>
              <w:rPr>
                <w:rFonts w:ascii="SimSun" w:hAnsi="SimSun" w:eastAsia="SimSun"/>
                <w:b w:val="0"/>
                <w:sz w:val="18"/>
              </w:rPr>
              <w:t>低位，安全边际充足</w:t>
            </w:r>
          </w:p>
        </w:tc>
      </w:tr>
      <w:tr>
        <w:tc>
          <w:tcPr>
            <w:tcW w:type="dxa" w:w="1729"/>
          </w:tcPr>
          <w:p>
            <w:pPr>
              <w:jc w:val="center"/>
            </w:pPr>
            <w:r/>
            <w:r>
              <w:rPr>
                <w:rFonts w:ascii="SimSun" w:hAnsi="SimSun" w:eastAsia="SimSun"/>
                <w:b w:val="0"/>
                <w:sz w:val="18"/>
              </w:rPr>
              <w:t>PB</w:t>
            </w:r>
          </w:p>
        </w:tc>
        <w:tc>
          <w:tcPr>
            <w:tcW w:type="dxa" w:w="1729"/>
          </w:tcPr>
          <w:p>
            <w:pPr>
              <w:jc w:val="center"/>
            </w:pPr>
            <w:r/>
            <w:r>
              <w:rPr>
                <w:rFonts w:ascii="SimSun" w:hAnsi="SimSun" w:eastAsia="SimSun"/>
                <w:b w:val="0"/>
                <w:sz w:val="18"/>
              </w:rPr>
              <w:t>6.1x</w:t>
            </w:r>
          </w:p>
        </w:tc>
        <w:tc>
          <w:tcPr>
            <w:tcW w:type="dxa" w:w="1729"/>
          </w:tcPr>
          <w:p>
            <w:pPr>
              <w:jc w:val="center"/>
            </w:pPr>
            <w:r/>
            <w:r>
              <w:rPr>
                <w:rFonts w:ascii="SimSun" w:hAnsi="SimSun" w:eastAsia="SimSun"/>
                <w:b w:val="0"/>
                <w:sz w:val="18"/>
              </w:rPr>
              <w:t>8x</w:t>
            </w:r>
          </w:p>
        </w:tc>
        <w:tc>
          <w:tcPr>
            <w:tcW w:type="dxa" w:w="1729"/>
          </w:tcPr>
          <w:p>
            <w:pPr>
              <w:jc w:val="center"/>
            </w:pPr>
            <w:r/>
            <w:r>
              <w:rPr>
                <w:rFonts w:ascii="SimSun" w:hAnsi="SimSun" w:eastAsia="SimSun"/>
                <w:b w:val="0"/>
                <w:sz w:val="18"/>
              </w:rPr>
              <w:t>4-6x</w:t>
            </w:r>
          </w:p>
        </w:tc>
        <w:tc>
          <w:tcPr>
            <w:tcW w:type="dxa" w:w="1729"/>
          </w:tcPr>
          <w:p>
            <w:pPr>
              <w:jc w:val="center"/>
            </w:pPr>
            <w:r/>
            <w:r>
              <w:rPr>
                <w:rFonts w:ascii="SimSun" w:hAnsi="SimSun" w:eastAsia="SimSun"/>
                <w:b w:val="0"/>
                <w:sz w:val="18"/>
              </w:rPr>
              <w:t>合理偏低</w:t>
            </w:r>
          </w:p>
        </w:tc>
      </w:tr>
      <w:tr>
        <w:tc>
          <w:tcPr>
            <w:tcW w:type="dxa" w:w="1729"/>
          </w:tcPr>
          <w:p>
            <w:pPr>
              <w:jc w:val="center"/>
            </w:pPr>
            <w:r/>
            <w:r>
              <w:rPr>
                <w:rFonts w:ascii="SimSun" w:hAnsi="SimSun" w:eastAsia="SimSun"/>
                <w:b w:val="0"/>
                <w:sz w:val="18"/>
              </w:rPr>
              <w:t>股息率</w:t>
            </w:r>
          </w:p>
        </w:tc>
        <w:tc>
          <w:tcPr>
            <w:tcW w:type="dxa" w:w="1729"/>
          </w:tcPr>
          <w:p>
            <w:pPr>
              <w:jc w:val="center"/>
            </w:pPr>
            <w:r/>
            <w:r>
              <w:rPr>
                <w:rFonts w:ascii="SimSun" w:hAnsi="SimSun" w:eastAsia="SimSun"/>
                <w:b w:val="0"/>
                <w:sz w:val="18"/>
              </w:rPr>
              <w:t>3.94%</w:t>
            </w:r>
          </w:p>
        </w:tc>
        <w:tc>
          <w:tcPr>
            <w:tcW w:type="dxa" w:w="1729"/>
          </w:tcPr>
          <w:p>
            <w:pPr>
              <w:jc w:val="center"/>
            </w:pPr>
            <w:r/>
            <w:r>
              <w:rPr>
                <w:rFonts w:ascii="SimSun" w:hAnsi="SimSun" w:eastAsia="SimSun"/>
                <w:b w:val="0"/>
                <w:sz w:val="18"/>
              </w:rPr>
              <w:t>1.5%</w:t>
            </w:r>
          </w:p>
        </w:tc>
        <w:tc>
          <w:tcPr>
            <w:tcW w:type="dxa" w:w="1729"/>
          </w:tcPr>
          <w:p>
            <w:pPr>
              <w:jc w:val="center"/>
            </w:pPr>
            <w:r/>
            <w:r>
              <w:rPr>
                <w:rFonts w:ascii="SimSun" w:hAnsi="SimSun" w:eastAsia="SimSun"/>
                <w:b w:val="0"/>
                <w:sz w:val="18"/>
              </w:rPr>
              <w:t>2.5%</w:t>
            </w:r>
          </w:p>
        </w:tc>
        <w:tc>
          <w:tcPr>
            <w:tcW w:type="dxa" w:w="1729"/>
          </w:tcPr>
          <w:p>
            <w:pPr>
              <w:jc w:val="center"/>
            </w:pPr>
            <w:r/>
            <w:r>
              <w:rPr>
                <w:rFonts w:ascii="SimSun" w:hAnsi="SimSun" w:eastAsia="SimSun"/>
                <w:b w:val="0"/>
                <w:sz w:val="18"/>
              </w:rPr>
              <w:t>显著高于历史均值</w:t>
            </w:r>
          </w:p>
        </w:tc>
      </w:tr>
      <w:tr>
        <w:tc>
          <w:tcPr>
            <w:tcW w:type="dxa" w:w="1729"/>
          </w:tcPr>
          <w:p>
            <w:pPr>
              <w:jc w:val="center"/>
            </w:pPr>
            <w:r/>
            <w:r>
              <w:rPr>
                <w:rFonts w:ascii="SimSun" w:hAnsi="SimSun" w:eastAsia="SimSun"/>
                <w:b w:val="0"/>
                <w:sz w:val="18"/>
              </w:rPr>
              <w:t>EV/EBITDA</w:t>
            </w:r>
          </w:p>
        </w:tc>
        <w:tc>
          <w:tcPr>
            <w:tcW w:type="dxa" w:w="1729"/>
          </w:tcPr>
          <w:p>
            <w:pPr>
              <w:jc w:val="center"/>
            </w:pPr>
            <w:r/>
            <w:r>
              <w:rPr>
                <w:rFonts w:ascii="SimSun" w:hAnsi="SimSun" w:eastAsia="SimSun"/>
                <w:b w:val="0"/>
                <w:sz w:val="18"/>
              </w:rPr>
              <w:t>12x</w:t>
            </w:r>
          </w:p>
        </w:tc>
        <w:tc>
          <w:tcPr>
            <w:tcW w:type="dxa" w:w="1729"/>
          </w:tcPr>
          <w:p>
            <w:pPr>
              <w:jc w:val="center"/>
            </w:pPr>
            <w:r/>
            <w:r>
              <w:rPr>
                <w:rFonts w:ascii="SimSun" w:hAnsi="SimSun" w:eastAsia="SimSun"/>
                <w:b w:val="0"/>
                <w:sz w:val="18"/>
              </w:rPr>
              <w:t>18x</w:t>
            </w:r>
          </w:p>
        </w:tc>
        <w:tc>
          <w:tcPr>
            <w:tcW w:type="dxa" w:w="1729"/>
          </w:tcPr>
          <w:p>
            <w:pPr>
              <w:jc w:val="center"/>
            </w:pPr>
            <w:r/>
            <w:r>
              <w:rPr>
                <w:rFonts w:ascii="SimSun" w:hAnsi="SimSun" w:eastAsia="SimSun"/>
                <w:b w:val="0"/>
                <w:sz w:val="18"/>
              </w:rPr>
              <w:t>10-14x</w:t>
            </w:r>
          </w:p>
        </w:tc>
        <w:tc>
          <w:tcPr>
            <w:tcW w:type="dxa" w:w="1729"/>
          </w:tcPr>
          <w:p>
            <w:pPr>
              <w:jc w:val="center"/>
            </w:pPr>
            <w:r/>
            <w:r>
              <w:rPr>
                <w:rFonts w:ascii="SimSun" w:hAnsi="SimSun" w:eastAsia="SimSun"/>
                <w:b w:val="0"/>
                <w:sz w:val="18"/>
              </w:rPr>
              <w:t>偏低</w:t>
            </w:r>
          </w:p>
        </w:tc>
      </w:tr>
      <w:tr>
        <w:tc>
          <w:tcPr>
            <w:tcW w:type="dxa" w:w="1729"/>
          </w:tcPr>
          <w:p>
            <w:pPr>
              <w:jc w:val="center"/>
            </w:pPr>
            <w:r/>
            <w:r>
              <w:rPr>
                <w:rFonts w:ascii="SimSun" w:hAnsi="SimSun" w:eastAsia="SimSun"/>
                <w:b w:val="0"/>
                <w:sz w:val="18"/>
              </w:rPr>
              <w:t>FCF Yield</w:t>
            </w:r>
          </w:p>
        </w:tc>
        <w:tc>
          <w:tcPr>
            <w:tcW w:type="dxa" w:w="1729"/>
          </w:tcPr>
          <w:p>
            <w:pPr>
              <w:jc w:val="center"/>
            </w:pPr>
            <w:r/>
            <w:r>
              <w:rPr>
                <w:rFonts w:ascii="SimSun" w:hAnsi="SimSun" w:eastAsia="SimSun"/>
                <w:b w:val="0"/>
                <w:sz w:val="18"/>
              </w:rPr>
              <w:t>4.8%</w:t>
            </w:r>
          </w:p>
        </w:tc>
        <w:tc>
          <w:tcPr>
            <w:tcW w:type="dxa" w:w="1729"/>
          </w:tcPr>
          <w:p>
            <w:pPr>
              <w:jc w:val="center"/>
            </w:pPr>
            <w:r/>
            <w:r>
              <w:rPr>
                <w:rFonts w:ascii="SimSun" w:hAnsi="SimSun" w:eastAsia="SimSun"/>
                <w:b w:val="0"/>
                <w:sz w:val="18"/>
              </w:rPr>
              <w:t>3%</w:t>
            </w:r>
          </w:p>
        </w:tc>
        <w:tc>
          <w:tcPr>
            <w:tcW w:type="dxa" w:w="1729"/>
          </w:tcPr>
          <w:p>
            <w:pPr>
              <w:jc w:val="center"/>
            </w:pPr>
            <w:r/>
            <w:r>
              <w:rPr>
                <w:rFonts w:ascii="SimSun" w:hAnsi="SimSun" w:eastAsia="SimSun"/>
                <w:b w:val="0"/>
                <w:sz w:val="18"/>
              </w:rPr>
              <w:t>3-5%</w:t>
            </w:r>
          </w:p>
        </w:tc>
        <w:tc>
          <w:tcPr>
            <w:tcW w:type="dxa" w:w="1729"/>
          </w:tcPr>
          <w:p>
            <w:pPr>
              <w:jc w:val="center"/>
            </w:pPr>
            <w:r/>
            <w:r>
              <w:rPr>
                <w:rFonts w:ascii="SimSun" w:hAnsi="SimSun" w:eastAsia="SimSun"/>
                <w:b w:val="0"/>
                <w:sz w:val="18"/>
              </w:rPr>
              <w:t>较有吸引力</w:t>
            </w:r>
          </w:p>
        </w:tc>
      </w:tr>
    </w:tbl>
    <w:p/>
    <w:p>
      <w:r>
        <w:rPr>
          <w:rFonts w:ascii="SimHei" w:hAnsi="SimHei" w:eastAsia="SimHei"/>
          <w:b/>
          <w:color w:val="1F4E79"/>
          <w:sz w:val="24"/>
        </w:rPr>
        <w:t>维持目标价1,671元</w:t>
      </w:r>
    </w:p>
    <w:p>
      <w:pPr>
        <w:ind w:firstLine="420"/>
      </w:pPr>
      <w:r>
        <w:rPr>
          <w:b w:val="0"/>
        </w:rPr>
        <w:t>我们维持"跑赢行业"评级，基于2026/2027年EPS约66.8/69.5元，给予2026年25倍PE（略低于历史均值但反映行业调整期的保守定价），对应目标价1,671元，较当前股价有约27-31%的上行空间。</w:t>
      </w:r>
    </w:p>
    <w:p/>
    <w:p>
      <w:pPr>
        <w:ind w:firstLine="420"/>
      </w:pPr>
      <w:r>
        <w:rPr>
          <w:b w:val="0"/>
        </w:rPr>
        <w:t>催化剂因素：①市场化改革推进超预期；②飞天批价触底回升；③白酒宏观消费环境改善信号出现；④高股息+回购持续托底。</w:t>
      </w:r>
    </w:p>
    <w:p/>
    <w:p>
      <w:pPr>
        <w:pStyle w:val="Heading2"/>
      </w:pPr>
      <w:r>
        <w:rPr>
          <w:rFonts w:ascii="SimHei" w:hAnsi="SimHei" w:eastAsia="SimHei"/>
        </w:rPr>
        <w:t>八、风险提示</w:t>
      </w:r>
    </w:p>
    <w:p>
      <w:pPr>
        <w:pStyle w:val="ListBullet"/>
      </w:pPr>
      <w:r>
        <w:rPr>
          <w:b w:val="0"/>
          <w:sz w:val="20"/>
        </w:rPr>
        <w:t>宏观经济下行压力超预期，商务消费场景持续萎缩，白酒需求端进一步走弱；</w:t>
      </w:r>
    </w:p>
    <w:p>
      <w:pPr>
        <w:pStyle w:val="ListBullet"/>
      </w:pPr>
      <w:r>
        <w:rPr>
          <w:b w:val="0"/>
          <w:sz w:val="20"/>
        </w:rPr>
        <w:t>飞天茅台批价继续下行跌破i茅台1,499元锚点，引发渠道恐慌和价格体系崩塌风险；</w:t>
      </w:r>
    </w:p>
    <w:p>
      <w:pPr>
        <w:pStyle w:val="ListBullet"/>
      </w:pPr>
      <w:r>
        <w:rPr>
          <w:b w:val="0"/>
          <w:sz w:val="20"/>
        </w:rPr>
        <w:t>市场化改革推进不及预期，尤其是直销渠道对经销商体系的冲击可能引发渠道矛盾；</w:t>
      </w:r>
    </w:p>
    <w:p>
      <w:pPr>
        <w:pStyle w:val="ListBullet"/>
      </w:pPr>
      <w:r>
        <w:rPr>
          <w:b w:val="0"/>
          <w:sz w:val="20"/>
        </w:rPr>
        <w:t>系列酒调整周期长于预期，持续拖累整体收入和利润增速；</w:t>
      </w:r>
    </w:p>
    <w:p>
      <w:pPr>
        <w:pStyle w:val="ListBullet"/>
      </w:pPr>
      <w:r>
        <w:rPr>
          <w:b w:val="0"/>
          <w:sz w:val="20"/>
        </w:rPr>
        <w:t>食品安全政策变化或行业监管加码；</w:t>
      </w:r>
    </w:p>
    <w:p>
      <w:pPr>
        <w:pStyle w:val="ListBullet"/>
      </w:pPr>
      <w:r>
        <w:rPr>
          <w:b w:val="0"/>
          <w:sz w:val="20"/>
        </w:rPr>
        <w:t>估值修复滞后于基本面改善，股价波动风险。</w:t>
      </w:r>
    </w:p>
    <w:p/>
    <w:p>
      <w:pPr>
        <w:jc w:val="left"/>
      </w:pPr>
      <w:r>
        <w:rPr>
          <w:b w:val="0"/>
          <w:color w:val="646464"/>
          <w:sz w:val="18"/>
        </w:rPr>
        <w:t>——</w:t>
      </w:r>
    </w:p>
    <w:p>
      <w:r>
        <w:rPr>
          <w:b w:val="0"/>
          <w:color w:val="646464"/>
          <w:sz w:val="18"/>
        </w:rPr>
        <w:t>分析师：王文丹  |  研究助理：[团队]</w:t>
      </w:r>
    </w:p>
    <w:p>
      <w:r>
        <w:rPr>
          <w:b w:val="0"/>
          <w:color w:val="646464"/>
          <w:sz w:val="18"/>
        </w:rPr>
        <w:t>报告日期：2026年6月8日</w:t>
      </w:r>
    </w:p>
    <w:p>
      <w:r>
        <w:rPr>
          <w:b w:val="0"/>
          <w:color w:val="969696"/>
          <w:sz w:val="16"/>
        </w:rPr>
        <w:t>Disclaimer: 本报告基于公开信息整理，所含信息仅供参考，不构成投资建议。</w:t>
      </w:r>
    </w:p>
    <w:p>
      <w:r>
        <w:rPr>
          <w:b w:val="0"/>
          <w:color w:val="969696"/>
          <w:sz w:val="16"/>
        </w:rPr>
        <w:t>数据来源：贵州茅台2025年年报、2026年一季报、东方财富、同花顺、中金公司研报、华泰证券、Wind、公开新闻报道</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