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9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9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按平台能力应用同一视觉语言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安装私人仓库时，需要提前配置相应的 GitHub 访问权限；公开仓库无需额外凭据。</w:t>
      </w:r>
    </w:p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path 使用 .，安装名称使用 codex-document-standard。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\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+~/.codex/skills/codex-document-standard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 xml:space="preserve">  "$env:USERPROFILE\.codex\skills\codex-document-standard"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创建一份项目周报。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把这份季度复盘整理成正式工作文档，保留现有数据和链接。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不改动原文事实。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#005D8D 背景  白色  10 pt  加粗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10.5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#EEF5F8 背景  #2F75B5 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结论先行  事实可验证  链接真实可访问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~/.codex/skills/codex-document-standard pull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"$env:USERPROFILE\.codex\skills\codex-document-standard" pull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检查网络、仓库地址和 GitHub 权限；不要把凭据写入 Skill。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