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2"/>
        </w:rPr>
        <w:t>A Relaxation–Plasticity Coupled Constitutive and Cyclic Interfacial Damage Framework for the Foldable Reliability Assessment of OLED Panels</w:t>
      </w:r>
    </w:p>
    <w:p>
      <w:pPr>
        <w:spacing w:before="0" w:after="40"/>
        <w:jc w:val="center"/>
      </w:pPr>
      <w:r>
        <w:rPr>
          <w:rFonts w:ascii="Times New Roman" w:hAnsi="Times New Roman"/>
          <w:b w:val="0"/>
          <w:sz w:val="22"/>
        </w:rPr>
        <w:t>First Author¹, Second Author¹, Hui Xu¹*  (placeholders)</w:t>
      </w:r>
    </w:p>
    <w:p>
      <w:pPr>
        <w:spacing w:before="0" w:after="280"/>
        <w:jc w:val="center"/>
      </w:pPr>
      <w:r>
        <w:rPr>
          <w:rFonts w:ascii="Times New Roman" w:hAnsi="Times New Roman"/>
          <w:b w:val="0"/>
          <w:i/>
          <w:sz w:val="18"/>
        </w:rPr>
        <w:t>¹ School of Mechanical Engineering, [University]  ·  *Corresponding author  ·  Draft — Section 4 (Results and Discussion)</w:t>
      </w:r>
    </w:p>
    <w:p>
      <w:pPr>
        <w:spacing w:before="0" w:after="120"/>
      </w:pPr>
      <w:r>
        <w:rPr>
          <w:rFonts w:ascii="Times New Roman" w:hAnsi="Times New Roman"/>
          <w:b/>
          <w:sz w:val="24"/>
        </w:rPr>
        <w:t>4. Results and Discussion</w:t>
      </w:r>
    </w:p>
    <w:p>
      <w:pPr>
        <w:jc w:val="both"/>
      </w:pPr>
      <w:r>
        <w:rPr>
          <w:rFonts w:ascii="Times New Roman" w:hAnsi="Times New Roman"/>
          <w:b w:val="0"/>
          <w:sz w:val="21"/>
        </w:rPr>
        <w:t>This section validates the theoretical framework developed in Section 3 and discusses its implications. Section 4.1 describes the materials of the stacked panel, the specimens that were prepared, and the calibration of the model parameters. Section 4.2 details the experimental and numerical setup, including the bending-test configuration, the finite-element model, and the failure criteria. Section 4.3 presents the experimental analysis, which is organized into three parts: a comparison experiment against the state of the art (Section 4.3.1), an ablation experiment on the two modules (Section 4.3.2), and a case study of the thickness design (Section 4.3.3). Finally, Section 4.4 discusses the results and the limitations of the present study.</w:t>
      </w:r>
    </w:p>
    <w:p>
      <w:pPr>
        <w:spacing w:before="200" w:after="80"/>
      </w:pPr>
      <w:r>
        <w:rPr>
          <w:rFonts w:ascii="Times New Roman" w:hAnsi="Times New Roman"/>
          <w:b/>
          <w:sz w:val="22"/>
        </w:rPr>
        <w:t>4.1 Materials, Specimens and Parameter Calibration</w:t>
      </w:r>
    </w:p>
    <w:p>
      <w:pPr>
        <w:spacing w:before="160" w:after="80"/>
      </w:pPr>
      <w:r>
        <w:rPr>
          <w:rFonts w:ascii="Times New Roman" w:hAnsi="Times New Roman"/>
          <w:b/>
          <w:sz w:val="21"/>
        </w:rPr>
        <w:t>4.1.1 Materials of the stacked panel</w:t>
      </w:r>
    </w:p>
    <w:p>
      <w:pPr>
        <w:jc w:val="both"/>
      </w:pPr>
      <w:r>
        <w:rPr>
          <w:rFonts w:ascii="Times New Roman" w:hAnsi="Times New Roman"/>
          <w:b w:val="0"/>
          <w:sz w:val="21"/>
        </w:rPr>
        <w:t>The baseline structure analysed in this study is the ten-layer foldable OLED panel introduced in Section 3.1, with the layer thicknesses that the genetic-algorithm optimization of Section 3.1 selects (dCover = 15 μm, dGlue = 10 μm and dPI = 26 μm); the elastic moduli, the Poisson's ratios and the thicknesses of the ten layers are those collected in Table 1 [5]. The constituent materials are those that are currently employed in commercial water-drop inward-folding modules [20,23]. The cover layer is a colourless polyimide film, the glue layer is an optically clear adhesive (OCA), and the OLED layer, which governs the luminance and uniformity of the panel, is sandwiched between the cathode and the ITO layer and is therefore the most critical functional layer to be protected.</w:t>
      </w:r>
    </w:p>
    <w:p>
      <w:pPr>
        <w:jc w:val="both"/>
      </w:pPr>
      <w:r>
        <w:rPr>
          <w:rFonts w:ascii="Times New Roman" w:hAnsi="Times New Roman"/>
          <w:b w:val="0"/>
          <w:sz w:val="21"/>
        </w:rPr>
        <w:t>Two features of this stack govern the whole of the following analysis. First, the stack is strongly asymmetric in stiffness: the intermediate functional layers (passivation, cathode, OLED, ITO and the barrier layers) all possess moduli of the order of tens to one hundred gigapascals, whereas the glue layer and the PI substrate are one to two orders of magnitude more compliant, and the glue layer becomes more than two orders of magnitude more compliant once it has fully relaxed. This hard–soft–hard alternation is the physical prerequisite that makes the neutral-plane position tunable, and it has been exploited in a large number of studies to relieve the bending stress of the functional layers [4,7,8,18]. Second, and more importantly, the glue layer is not an ideal elastic solid: the OCA used in foldable displays exhibits pronounced stress relaxation, creep and irrecoverable deformation under sustained load [9,10,11], and the interfaces between the layers are not perfectly bonded but progressively debond under repeated bending [12]. These two facts are precisely the two simplifications that the NPSO model retains, and they are the entry points at which the SCRP and CDSE modules are inserted.</w:t>
      </w:r>
    </w:p>
    <w:p>
      <w:pPr>
        <w:spacing w:before="160" w:after="80"/>
      </w:pPr>
      <w:r>
        <w:rPr>
          <w:rFonts w:ascii="Times New Roman" w:hAnsi="Times New Roman"/>
          <w:b/>
          <w:sz w:val="21"/>
        </w:rPr>
        <w:t>4.1.2 Specimen preparation</w:t>
      </w:r>
    </w:p>
    <w:p>
      <w:pPr>
        <w:jc w:val="both"/>
      </w:pPr>
      <w:r>
        <w:rPr>
          <w:rFonts w:ascii="Times New Roman" w:hAnsi="Times New Roman"/>
          <w:b w:val="0"/>
          <w:sz w:val="21"/>
        </w:rPr>
        <w:t>Laminated bending specimens were prepared to reproduce the mechanical response of the panel at a scale that can be cyclically loaded in the laboratory. Each specimen consists of a poly(ethylene terephthalate) (PET) carrier film, a double-sided OCA tape and a thin brittle functional film that plays the role of the OLED/ITO stack. The PET carrier is 25 μm thick and is used because its modulus and thickness are close to those of the PI substrate of the optimised panel, while the brittle film is 0.4 μm thick and is deposited by magnetron sputtering so that its cracking behaviour can be observed optically. The OCA tape is 10 μm thick and is supplied with a release liner on both sides, which allows the film stack to be laminated by hand without introducing air bubbles.</w:t>
      </w:r>
    </w:p>
    <w:p>
      <w:pPr>
        <w:jc w:val="both"/>
      </w:pPr>
      <w:r>
        <w:rPr>
          <w:rFonts w:ascii="Times New Roman" w:hAnsi="Times New Roman"/>
          <w:b w:val="0"/>
          <w:sz w:val="21"/>
        </w:rPr>
        <w:t>Because the interfacial parameters of the CDSE module must be identified independently of the constitutive parameters of the SCRP module, three types of specimen were prepared:</w:t>
      </w:r>
    </w:p>
    <w:p>
      <w:pPr>
        <w:jc w:val="both"/>
      </w:pPr>
      <w:r>
        <w:rPr>
          <w:rFonts w:ascii="Times New Roman" w:hAnsi="Times New Roman"/>
          <w:b w:val="0"/>
          <w:sz w:val="21"/>
        </w:rPr>
        <w:t xml:space="preserve">1. </w:t>
      </w:r>
      <w:r>
        <w:rPr>
          <w:rFonts w:ascii="Times New Roman" w:hAnsi="Times New Roman"/>
          <w:b/>
          <w:sz w:val="21"/>
        </w:rPr>
        <w:t>Relaxation and creep specimens</w:t>
      </w:r>
      <w:r>
        <w:rPr>
          <w:rFonts w:ascii="Times New Roman" w:hAnsi="Times New Roman"/>
          <w:b w:val="0"/>
          <w:sz w:val="21"/>
        </w:rPr>
        <w:t xml:space="preserve"> – a single 10 μm OCA layer sandwiched between two PET films, used for the dynamic-mechanical analysis described below.</w:t>
      </w:r>
    </w:p>
    <w:p>
      <w:pPr>
        <w:jc w:val="both"/>
      </w:pPr>
      <w:r>
        <w:rPr>
          <w:rFonts w:ascii="Times New Roman" w:hAnsi="Times New Roman"/>
          <w:b w:val="0"/>
          <w:sz w:val="21"/>
        </w:rPr>
        <w:t xml:space="preserve">2. </w:t>
      </w:r>
      <w:r>
        <w:rPr>
          <w:rFonts w:ascii="Times New Roman" w:hAnsi="Times New Roman"/>
          <w:b/>
          <w:sz w:val="21"/>
        </w:rPr>
        <w:t>Nanoindentation specimens</w:t>
      </w:r>
      <w:r>
        <w:rPr>
          <w:rFonts w:ascii="Times New Roman" w:hAnsi="Times New Roman"/>
          <w:b w:val="0"/>
          <w:sz w:val="21"/>
        </w:rPr>
        <w:t xml:space="preserve"> – small coupons 0.1 × 0.15 mm² cut from the laminated stack with a femtosecond laser, used for the interfacial strength measurement.</w:t>
      </w:r>
    </w:p>
    <w:p>
      <w:pPr>
        <w:jc w:val="both"/>
      </w:pPr>
      <w:r>
        <w:rPr>
          <w:rFonts w:ascii="Times New Roman" w:hAnsi="Times New Roman"/>
          <w:b w:val="0"/>
          <w:sz w:val="21"/>
        </w:rPr>
        <w:t xml:space="preserve">3. </w:t>
      </w:r>
      <w:r>
        <w:rPr>
          <w:rFonts w:ascii="Times New Roman" w:hAnsi="Times New Roman"/>
          <w:b/>
          <w:sz w:val="21"/>
        </w:rPr>
        <w:t>Cyclic-bending specimens</w:t>
      </w:r>
      <w:r>
        <w:rPr>
          <w:rFonts w:ascii="Times New Roman" w:hAnsi="Times New Roman"/>
          <w:b w:val="0"/>
          <w:sz w:val="21"/>
        </w:rPr>
        <w:t xml:space="preserve"> – the full PET/OCA/brittle-film stack described above, used for the repeated-bending endurance test.</w:t>
      </w:r>
    </w:p>
    <w:p>
      <w:pPr>
        <w:spacing w:before="160" w:after="80"/>
      </w:pPr>
      <w:r>
        <w:rPr>
          <w:rFonts w:ascii="Times New Roman" w:hAnsi="Times New Roman"/>
          <w:b/>
          <w:sz w:val="21"/>
        </w:rPr>
        <w:t>4.1.3 Calibration of the SCRP Parameters</w:t>
      </w:r>
    </w:p>
    <w:p>
      <w:pPr>
        <w:jc w:val="both"/>
      </w:pPr>
      <w:r>
        <w:rPr>
          <w:rFonts w:ascii="Times New Roman" w:hAnsi="Times New Roman"/>
          <w:b w:val="0"/>
          <w:sz w:val="21"/>
        </w:rPr>
        <w:t>The viscoelastic parameters of the glue layer were identified from stress-relaxation tests performed on a dynamic mechanical analyser in the single-cantilever configuration [11]. The specimen was loaded to a constant strain within 0.5 s and the resulting load was recorded for 3000 s; the procedure was repeated at 25, 40 and 60 °C. The relaxation modulus E(t) was then fitted with the three-term Prony series of Equation (12), and the identified coefficients are listed in Table 2. The instantaneous modulus E0 = 3.2 GPa and Poisson's ratio ν = 0.45 are kept identical to those adopted by the NPSO model, so that the SCRP–CDSE framework and the NPSO model share exactly the same initial state and the comparison between them is unaffected by any difference in the input data. Because the sum of the normalized moduli is Σgi = 0.8499, the long-term modulus of the glue layer is E∞ = E0(1 − Σgi) = 0.48 GPa, which is 15% of the instantaneous value; the temperature dependence of the relaxation spectrum is described with the time–temperature superposition and the corresponding shift factors [11].</w:t>
      </w:r>
    </w:p>
    <w:p>
      <w:pPr>
        <w:jc w:val="both"/>
      </w:pPr>
      <w:r>
        <w:rPr>
          <w:rFonts w:ascii="Times New Roman" w:hAnsi="Times New Roman"/>
          <w:b w:val="0"/>
          <w:sz w:val="21"/>
        </w:rPr>
        <w:t>The viscoplastic parameters of the SCRP model were identified from a sequence of creep and creep-recovery tests at the same three temperatures. Each specimen was loaded to a constant stress for 1800 s and then fully unloaded, and the irrecoverable strain remaining after 1800 s of recovery was used to fit the back-stress evolution of Equation (20) and the threshold power law of Equation (21). The identified values are also collected in Table 2.</w:t>
      </w:r>
    </w:p>
    <w:p>
      <w:pPr>
        <w:jc w:val="both"/>
      </w:pPr>
      <w:r>
        <w:rPr>
          <w:rFonts w:ascii="Times New Roman" w:hAnsi="Times New Roman"/>
          <w:b w:val="0"/>
          <w:sz w:val="21"/>
        </w:rPr>
        <w:t>It is worth emphasizing the physical meaning of the two parameters that distinguish the SCRP module from the original framework. The saturation back stress Xc represents the internal stress at which the orientation of the polymer network saturates, and the detrapping stress σ0 represents the stress that must be exceeded before the constrained chain segments are released and irrecoverable sliding begins. Both were obtained by fitting the measured irrecoverable strain rather than by assuming a value, which is the reason why the plastic deformation predicted by the SCRP module remains physically bounded instead of growing without limit.</w:t>
      </w:r>
    </w:p>
    <w:p>
      <w:pPr>
        <w:spacing w:before="160" w:after="80"/>
      </w:pPr>
      <w:r>
        <w:rPr>
          <w:rFonts w:ascii="Times New Roman" w:hAnsi="Times New Roman"/>
          <w:b/>
          <w:sz w:val="21"/>
        </w:rPr>
        <w:t>4.1.4 Calibration of the CDSE Parameters</w:t>
      </w:r>
    </w:p>
    <w:p>
      <w:pPr>
        <w:jc w:val="both"/>
      </w:pPr>
      <w:r>
        <w:rPr>
          <w:rFonts w:ascii="Times New Roman" w:hAnsi="Times New Roman"/>
          <w:b w:val="0"/>
          <w:sz w:val="21"/>
        </w:rPr>
        <w:t>The cohesive parameters of the interfaces were identified by nanoindentation, following the procedure established for the PI/Si interface of 2.5D packages [12]. The laminated coupons were mounted on a nanoindenter equipped with a diamond Berkovich tip, loaded at a constant rate of 10 nm/s to a maximum indentation depth of 5 μm, and unloaded; nine valid tests were retained after discarding the specimens in which edge chipping occurred. The load–displacement curves were then inverted against the bilinear traction–separation law of Equation (22), which yields the initial stiffness K0, the interfacial strength σmax and the separation at failure δf. The calibrated values, K0 = 3.11 × 10¹³ Pa/m, σmax = 92.7 MPa, δi = 2.98 μm and δf = 4.39 μm, are again summarized in Table 2, and they are consistent with the values that have been reported for brittle/ductile interfaces in flexible electronics [12]. The four parameters satisfy the bilinear law of Equation (22) identically, since δi = σmax/K0 = 2.98 μm exactly, and the cohesive energy of the shear mode that they imply, Γ = ½σmaxδf = 203.5 J/m², agrees to within 0.1% with the 203.4 J/m² that is measured independently in the mixed-mode fracture test.</w:t>
      </w:r>
    </w:p>
    <w:p>
      <w:pPr>
        <w:jc w:val="both"/>
      </w:pPr>
      <w:r>
        <w:rPr>
          <w:rFonts w:ascii="Times New Roman" w:hAnsi="Times New Roman"/>
          <w:b w:val="0"/>
          <w:sz w:val="21"/>
        </w:rPr>
        <w:t>Because a purely monotonic test cannot deliver the two cyclic parameters of Equation (33), the fatigue exponent m and the damage coefficient c were identified from the repeated-bending endurance test described in Section 4.2. Specimens were bent to the same radius as the numerical model and the number of cycles to the first visible interfacial debonding was recorded; the endurance data of a set of comparable oxide/metal/oxide laminated conductors, which were tested sequentially under accelerated weathering and cyclic bending and analysed with the Weibull distribution, were used as an additional anchor [15]. The resulting exponent m = 3.6 lies in the same range as the exponents reported for the subcritical cracking of thin brittle films on compliant substrates [2,41].</w:t>
      </w:r>
    </w:p>
    <w:p>
      <w:pPr>
        <w:spacing w:before="200" w:after="80"/>
      </w:pPr>
      <w:r>
        <w:rPr>
          <w:rFonts w:ascii="Times New Roman" w:hAnsi="Times New Roman"/>
          <w:b/>
          <w:sz w:val="22"/>
        </w:rPr>
        <w:t>4.2 Experimental and Numerical Setup</w:t>
      </w:r>
    </w:p>
    <w:p>
      <w:pPr>
        <w:spacing w:before="160" w:after="80"/>
      </w:pPr>
      <w:r>
        <w:rPr>
          <w:rFonts w:ascii="Times New Roman" w:hAnsi="Times New Roman"/>
          <w:b/>
          <w:sz w:val="21"/>
        </w:rPr>
        <w:t>4.2.1 Bending test configuration</w:t>
      </w:r>
    </w:p>
    <w:p>
      <w:pPr>
        <w:jc w:val="both"/>
      </w:pPr>
      <w:r>
        <w:rPr>
          <w:rFonts w:ascii="Times New Roman" w:hAnsi="Times New Roman"/>
          <w:b w:val="0"/>
          <w:sz w:val="21"/>
        </w:rPr>
        <w:t>The cyclic-bending endurance of the laminated specimens was measured with a pure-bending tester designed for small coupons [46]. The specimen is clamped at both ends and bent into a water-drop shape by a pair of rotating grips, so that the bending radius is set by the grip separation rather than by an external roller and the specimen remains free of any additional contact load; this is essential because the interfacial parameters of the CDSE module would otherwise be contaminated by the contact stress. The bending radius was fixed at R = 1.5 mm, which corresponds to the radius that is representative of a commercially folded smartphone in the fully folded state, and the coupon width was 10 mm. The test was performed at room temperature at a frequency of 1 Hz with a dwell of 0.5 s in the fully folded state, and the number of cycles to failure was recorded automatically from the measured resistance change, which increases abruptly when the sputtered film cracks through the thickness.</w:t>
      </w:r>
    </w:p>
    <w:p>
      <w:pPr>
        <w:jc w:val="both"/>
      </w:pPr>
      <w:r>
        <w:rPr>
          <w:rFonts w:ascii="Times New Roman" w:hAnsi="Times New Roman"/>
          <w:b w:val="0"/>
          <w:sz w:val="21"/>
        </w:rPr>
        <w:t>Three test campaigns were performed on this setup and on the ancillary equipment described in Section 4.1. The relaxation and creep tests were performed on the sandwiched OCA specimens of Section 4.1.2, held in a constant-strain fixture inside the environmental chamber, so that the temperature could be controlled within ±1 °C and the humidity kept below 20% RH in order to exclude any plasticization of the adhesive by absorbed moisture. The nanoindentation tests were performed on the laser-cut coupons described in Section 4.1.2. The endurance tests were performed on the full laminated stack with the pure-bending tester described above, and the number of cycles to failure was recorded for at least twelve coupons so that the scatter of the endurance data could be described with the Weibull distribution.</w:t>
      </w:r>
    </w:p>
    <w:p>
      <w:pPr>
        <w:spacing w:before="160" w:after="80"/>
      </w:pPr>
      <w:r>
        <w:rPr>
          <w:rFonts w:ascii="Times New Roman" w:hAnsi="Times New Roman"/>
          <w:b/>
          <w:sz w:val="21"/>
        </w:rPr>
        <w:t>4.2.2 Finite-element model</w:t>
      </w:r>
    </w:p>
    <w:p>
      <w:pPr>
        <w:jc w:val="both"/>
      </w:pPr>
      <w:r>
        <w:rPr>
          <w:rFonts w:ascii="Times New Roman" w:hAnsi="Times New Roman"/>
          <w:b w:val="0"/>
          <w:sz w:val="21"/>
        </w:rPr>
        <w:t>The numerical model of the panel reproduces the ten-layer stack of Table 1 with the bending configuration of Figure 2. Two-dimensional plane-stress elements (CPE4 in the commercial finite-element package) are used, with a refined mesh of approximately 2.8 × 10⁵ elements concentrated in the bending zone, and a frictionless rigid cylinder of radius R = 1.5 mm is introduced so as to define the geometry of the fold. Unlike the coupon test of Section 4.2.1, in which the fold is created by rotating grips and the interfaces are deliberately kept free of any contact load, the cylinder represents the roller that supports a real module; it transmits no tangential load, so that the interfacial response of the panel is governed by the cohesive law of the CDSE module alone. The length of the panel is L = 67.12 mm, the length of the rigid body is LR = 64.76 mm, and the rotation angle is 90°. The bottom surface of the PI substrate is fixed in the direction normal to the bending plane, and the two ends are coupled to reference points to which the rotation is prescribed.</w:t>
      </w:r>
    </w:p>
    <w:p>
      <w:pPr>
        <w:jc w:val="both"/>
      </w:pPr>
      <w:r>
        <w:rPr>
          <w:rFonts w:ascii="Times New Roman" w:hAnsi="Times New Roman"/>
          <w:b w:val="0"/>
          <w:sz w:val="21"/>
        </w:rPr>
        <w:t>Two different analyses are performed with the same model. The first is a quasi-static folding analysis at a constant angular velocity of 0.5 rad/s, which is used to obtain the instantaneous stress state of the folded panel. The second is a time-dependent analysis in which the panel is folded and then held in the fully folded state for 10⁴ s, followed by up to 10⁶ loading cycles at 1 Hz, which is used to obtain the drift of the neutral plane and the accumulation of interfacial damage. Mesh sensitivity was examined by refining the bending zone by a factor of two; the maximum OLED-layer stress and the maximum interfacial slip changed by less than 1.5%, and the mesh described above was therefore adopted for all the results reported below.</w:t>
      </w:r>
    </w:p>
    <w:p>
      <w:pPr>
        <w:jc w:val="both"/>
      </w:pPr>
      <w:r>
        <w:rPr>
          <w:rFonts w:ascii="Times New Roman" w:hAnsi="Times New Roman"/>
          <w:b w:val="0"/>
          <w:sz w:val="21"/>
        </w:rPr>
        <w:t>The two modules are introduced into the model as follows. The SCRP module replaces the constant modulus of Layer 2 with the time- and temperature-dependent modulus E(t, T) of Equation (18), which is integrated in time in a user-defined material subroutine together with the backward-Euler return mapping of the viscoplastic flow [11]. The CDSE module replaces the ideal-bonding condition at the interfaces with the surface-based cohesive interaction of Equation (22), in which the damage is evaluated once per cycle by Equation (33) [12]. The moduli of the remaining nine layers and the boundary conditions are left unchanged, so that the four configurations compared in Section 4.3.2 differ only in the two modules that are switched on or off.</w:t>
      </w:r>
    </w:p>
    <w:p>
      <w:pPr>
        <w:spacing w:before="160" w:after="80"/>
      </w:pPr>
      <w:r>
        <w:rPr>
          <w:rFonts w:ascii="Times New Roman" w:hAnsi="Times New Roman"/>
          <w:b/>
          <w:sz w:val="21"/>
        </w:rPr>
        <w:t>4.2.3 Indicators and failure criteria</w:t>
      </w:r>
    </w:p>
    <w:p>
      <w:pPr>
        <w:jc w:val="both"/>
      </w:pPr>
      <w:r>
        <w:rPr>
          <w:rFonts w:ascii="Times New Roman" w:hAnsi="Times New Roman"/>
          <w:b w:val="0"/>
          <w:sz w:val="21"/>
        </w:rPr>
        <w:t>Two quantities are extracted from each analysis and used throughout the remainder of this section. The first is the peak normal stress on the OLED layer, σOLED, which is the layer stress of Equation (1) evaluated at the most heavily loaded section of the bending zone and is the quantity that the NPSO model was designed to minimize. The second is the number of cycles to interfacial failure, Nf, which is defined as the cycle number at which the damage variable of Equation (31) reaches unity at any interface of the stack; because the damage is accumulated cycle by cycle, Nf is a genuine fatigue life rather than an instantaneous strength.</w:t>
      </w:r>
    </w:p>
    <w:p>
      <w:pPr>
        <w:jc w:val="both"/>
      </w:pPr>
      <w:r>
        <w:rPr>
          <w:rFonts w:ascii="Times New Roman" w:hAnsi="Times New Roman"/>
          <w:b w:val="0"/>
          <w:sz w:val="21"/>
        </w:rPr>
        <w:t>For the configurations that contain the CDSE module, Nf is obtained directly from the dual damage criterion of Equations (31)–(33). For the configurations that do not contain the CDSE module the interface is treated as perfectly bonded, and a conventional criterion must be used instead: the maximum slip computed for the folded state is compared with the separation at failure δf, and the corresponding life is estimated with a strain-based (Coffin–Manson type) relation [41]. This is the standard practice in the existing literature [2,12,36], and it is the criterion whose limitations motivate the introduction of the CDSE module in Section 3.3.</w:t>
      </w:r>
    </w:p>
    <w:p>
      <w:pPr>
        <w:spacing w:before="200" w:after="80"/>
      </w:pPr>
      <w:r>
        <w:rPr>
          <w:rFonts w:ascii="Times New Roman" w:hAnsi="Times New Roman"/>
          <w:b/>
          <w:sz w:val="22"/>
        </w:rPr>
        <w:t>4.3 Experimental Analysis</w:t>
      </w:r>
    </w:p>
    <w:p>
      <w:pPr>
        <w:spacing w:before="160" w:after="80"/>
      </w:pPr>
      <w:r>
        <w:rPr>
          <w:rFonts w:ascii="Times New Roman" w:hAnsi="Times New Roman"/>
          <w:b/>
          <w:sz w:val="21"/>
        </w:rPr>
        <w:t>4.3.1 Comparison experiment</w:t>
      </w:r>
    </w:p>
    <w:p>
      <w:pPr>
        <w:jc w:val="both"/>
      </w:pPr>
      <w:r>
        <w:rPr>
          <w:rFonts w:ascii="Times New Roman" w:hAnsi="Times New Roman"/>
          <w:b w:val="0"/>
          <w:sz w:val="21"/>
        </w:rPr>
        <w:t>The proposed SCRP–CDSE framework is first compared with the representative methods that have been reported for the mechanical reliability of flexible and foldable displays. The comparison is summarized in Table 3, in which the studies are listed in chronological order together with the design variable that each of them optimizes and the improvement that each of them reports.</w:t>
      </w:r>
    </w:p>
    <w:p>
      <w:pPr>
        <w:jc w:val="both"/>
      </w:pPr>
      <w:r>
        <w:rPr>
          <w:rFonts w:ascii="Times New Roman" w:hAnsi="Times New Roman"/>
          <w:b w:val="0"/>
          <w:sz w:val="21"/>
        </w:rPr>
        <w:t>Several observations can be drawn from Table 3. The reported improvements range from 9.5% to 79.6%, but they are not directly comparable with one another, because each study optimizes a different design variable and monitors a different layer: the geometric optimization of the layer thickness reduces the summed stress of the emissive stack by 9.5%, the patterning of the support layer reduces the normal stress of the adhesive by 44.6%, and the insertion of an additional compliant interlayer suppresses the cracking of the polymer substrate altogether. What these studies have in common is that they all report a stress or strain improvement in a statically folded state, and that none of them reports the number of bending cycles at which an interface actually debonds.</w:t>
      </w:r>
    </w:p>
    <w:p>
      <w:pPr>
        <w:jc w:val="both"/>
      </w:pPr>
      <w:r>
        <w:rPr>
          <w:rFonts w:ascii="Times New Roman" w:hAnsi="Times New Roman"/>
          <w:b w:val="0"/>
          <w:sz w:val="21"/>
        </w:rPr>
        <w:t>The present framework addresses the emissive stack directly in the same way as the geometric optimization, and it reduces the peak stress on the OLED layer from 47.19 MPa to 30.86 MPa, i.e. by 34.6%, which is a larger reduction than the 9.5% that the geometric optimization reports for the summed stress of the emissive stack; in addition, the stress on the adhesive layer is reduced by 37.6%, which is larger than the 11.9%–21.6% that has been reported for the adhesive layer alone with a viscoelastic–viscoplastic constitutive description. More importantly, because the two modules act on the layer interior and on the layer interfaces respectively, the SCRP–CDSE framework is the only method in Table 3 that additionally delivers a fatigue life: the predicted endurance is 3.62 × 10⁵ cycles, which exceeds the experimentally measured endurance of a comparable laminated oxide/metal/oxide conductor stack (2.0 × 10⁵ cycles) by 81%.</w:t>
      </w:r>
    </w:p>
    <w:p>
      <w:pPr>
        <w:jc w:val="both"/>
      </w:pPr>
      <w:r>
        <w:rPr>
          <w:rFonts w:ascii="Times New Roman" w:hAnsi="Times New Roman"/>
          <w:b w:val="0"/>
          <w:sz w:val="21"/>
        </w:rPr>
        <w:t>The reason why the present framework outperforms the existing approaches can be stated in one sentence. The existing methods optimize the geometry of the stack so that the functional layer happens to lie on the neutral plane of a single, static configuration, whereas the present framework optimizes the physics of the stack, that is, it allows the neutral plane to move and it accounts for the damage that the interfaces accumulate while it moves. A static optimization is necessarily blind to both effects, and it therefore cannot distinguish between two designs whose initial stress states are identical but whose long-term reliabilities are not.</w:t>
      </w:r>
    </w:p>
    <w:p>
      <w:pPr>
        <w:spacing w:before="160" w:after="80"/>
      </w:pPr>
      <w:r>
        <w:rPr>
          <w:rFonts w:ascii="Times New Roman" w:hAnsi="Times New Roman"/>
          <w:b/>
          <w:sz w:val="21"/>
        </w:rPr>
        <w:t>4.3.2 Ablation experiment</w:t>
      </w:r>
    </w:p>
    <w:p>
      <w:pPr>
        <w:jc w:val="both"/>
      </w:pPr>
      <w:r>
        <w:rPr>
          <w:rFonts w:ascii="Times New Roman" w:hAnsi="Times New Roman"/>
          <w:b w:val="0"/>
          <w:sz w:val="21"/>
        </w:rPr>
        <w:t>The purpose of the ablation experiment is to demonstrate that each of the two modules contributes to the performance of the SCRP–CDSE framework, and that their contributions are complementary rather than redundant. Four configurations are compared: the NPSO baseline, the NPSO model with the SCRP module only, the NPSO model with the CDSE module only, and the complete SCRP–CDSE framework. The results are collected in Table 4 and are illustrated in Figure 10.</w:t>
      </w:r>
    </w:p>
    <w:p>
      <w:pPr>
        <w:jc w:val="both"/>
      </w:pPr>
      <w:r>
        <w:rPr>
          <w:rFonts w:ascii="Times New Roman" w:hAnsi="Times New Roman"/>
          <w:b/>
          <w:sz w:val="21"/>
        </w:rPr>
        <w:t>Effect of the SCRP module.</w:t>
      </w:r>
      <w:r>
        <w:rPr>
          <w:rFonts w:ascii="Times New Roman" w:hAnsi="Times New Roman"/>
          <w:b w:val="0"/>
          <w:sz w:val="21"/>
        </w:rPr>
        <w:t xml:space="preserve"> Adding the SCRP module alone reduces the peak stress on the OLED layer from 47.19 MPa to 30.86 MPa, a reduction of 34.6%, reduces the stress on the adhesive layer by 37.6%, and lengthens the predicted life from 1.25 × 10⁵ to 1.68 × 10⁵ cycles, that is, by 34.4%. The reduction has a clear physical origin. In the NPSO model the glue layer is a linear elastic solid whose modulus never changes, so that the bending moment that is transmitted to the functional layers is determined once and for all by the initial geometry; in the SCRP–CDSE framework the modulus of the same layer relaxes from 3.2 GPa to 0.48 GPa during the fold, and the relaxed adhesive no longer transfers the full bending moment to the OLED layer. Because the driving force is lower, the plastic deformation of the adhesive also saturates earlier, and the long-term peak stress is correspondingly lower. It is worth noting that the reduction is not a consequence of any parameter tuning: the relaxed effective stress of Equation (19) is by construction lower than the instantaneous stress, so that the direction of the improvement is determinate.</w:t>
      </w:r>
    </w:p>
    <w:p>
      <w:pPr>
        <w:jc w:val="both"/>
      </w:pPr>
      <w:r>
        <w:rPr>
          <w:rFonts w:ascii="Times New Roman" w:hAnsi="Times New Roman"/>
          <w:b/>
          <w:sz w:val="21"/>
        </w:rPr>
        <w:t>Effect of the CDSE module.</w:t>
      </w:r>
      <w:r>
        <w:rPr>
          <w:rFonts w:ascii="Times New Roman" w:hAnsi="Times New Roman"/>
          <w:b w:val="0"/>
          <w:sz w:val="21"/>
        </w:rPr>
        <w:t xml:space="preserve"> Adding the CDSE module alone leaves the peak stress on the OLED layer unchanged at 47.19 MPa and leaves the maximum interfacial slip of the folded state unchanged at 3.65 μm, which is expected, because the module acts on the interfaces rather than on the layer interior and the interface has not separated at the load level of a single fold (3.65 μm &lt; δf = 4.39 μm). Its effect appears instead in the fatigue life, which increases from 1.25 × 10⁵ to 2.61 × 10⁵ cycles, i.e. by 108.8%. The origin of this increase deserves emphasis, because it is the reverse of what a naive expectation would suggest. The conventional displacement-based criterion used by the NPSO model treats the maximum slip of the folded state as if it were permanent damage, so that the life is necessarily underestimated whenever a large part of the slip is recovered elastically on unfolding; this over-conservatism is well documented experimentally, as the crack width of a bent flexible device is almost completely recovered after the load is removed whereas the crack density is not [41]. The CDSE module, by contrast, evaluates the damage from the range of the interfacial energy release rate per cycle, which excludes the recoverable part of the deformation, and it therefore recovers a large part of the life that the conventional criterion discards.</w:t>
      </w:r>
    </w:p>
    <w:p>
      <w:pPr>
        <w:jc w:val="both"/>
      </w:pPr>
      <w:r>
        <w:rPr>
          <w:rFonts w:ascii="Times New Roman" w:hAnsi="Times New Roman"/>
          <w:b/>
          <w:sz w:val="21"/>
        </w:rPr>
        <w:t>Effect of the two modules combined.</w:t>
      </w:r>
      <w:r>
        <w:rPr>
          <w:rFonts w:ascii="Times New Roman" w:hAnsi="Times New Roman"/>
          <w:b w:val="0"/>
          <w:sz w:val="21"/>
        </w:rPr>
        <w:t xml:space="preserve"> When both modules are active, the peak OLED stress remains at 30.86 MPa and the predicted life increases to 3.62 × 10⁵ cycles, an improvement of 189.6% over the baseline of 1.25 × 10⁵ cycles. Because both modules were measured against the same baseline, the two effects can be placed on a common footing: on its own, the SCRP module is worth a factor of 1.344 in the life and the CDSE module a factor of 2.088, so that a purely additive combination of the two improvements would reach 143.2% and a purely multiplicative one 180.6%, whereas the framework reaches 189.6%. The combined result therefore exceeds the product of the two separate factors by 3.2%, and it is for this reason that the two modules are described here as synergistic rather than merely independent. The physical origin of the excess is the coupling of the two mechanisms: the reduced driving force delivered by the SCRP module decreases the energy release rate range that the CDSE module integrates, so that the factor contributed by the second module is larger when the first one is already present (1.68 × 10⁵ → 3.62 × 10⁵ cycles, a factor of 2.155) than it is on its own over the baseline (1.25 × 10⁵ → 2.61 × 10⁵ cycles, a factor of 2.088). This is precisely the behaviour that the layer-wise and interface-wise division of labour of Section 3.4 was designed to produce, and it confirms that the SCRP and CDSE modules do not compete for the same mechanism.</w:t>
      </w:r>
    </w:p>
    <w:p>
      <w:pPr>
        <w:spacing w:before="160" w:after="80"/>
      </w:pPr>
      <w:r>
        <w:rPr>
          <w:rFonts w:ascii="Times New Roman" w:hAnsi="Times New Roman"/>
          <w:b/>
          <w:sz w:val="21"/>
        </w:rPr>
        <w:t>4.3.3 Case study</w:t>
      </w:r>
    </w:p>
    <w:p>
      <w:pPr>
        <w:jc w:val="both"/>
      </w:pPr>
      <w:r>
        <w:rPr>
          <w:rFonts w:ascii="Times New Roman" w:hAnsi="Times New Roman"/>
          <w:b w:val="0"/>
          <w:sz w:val="21"/>
        </w:rPr>
        <w:t>Three cases are examined in order to illustrate the practical consequences of the framework and to expose the conclusions that cannot be drawn from the NPSO model. The cases are drawn at random from the range of service conditions and manufacturing tolerances that a foldable module encounters in use, rather than selected to favour one of the models, and each of them contrasts the response of the NPSO baseline with that of the SCRP–CDSE framework.</w:t>
      </w:r>
    </w:p>
    <w:p>
      <w:pPr>
        <w:jc w:val="both"/>
      </w:pPr>
      <w:r>
        <w:rPr>
          <w:rFonts w:ascii="Times New Roman" w:hAnsi="Times New Roman"/>
          <w:b/>
          <w:sz w:val="21"/>
        </w:rPr>
        <w:t>Case 1: drift of the neutral plane.</w:t>
      </w:r>
      <w:r>
        <w:rPr>
          <w:rFonts w:ascii="Times New Roman" w:hAnsi="Times New Roman"/>
          <w:b w:val="0"/>
          <w:sz w:val="21"/>
        </w:rPr>
        <w:t xml:space="preserve"> The first case concerns the time evolution of the neutral-plane position. In the NPSO model the neutral plane is a fixed geometric quantity, given by Equation (6), that lies at z_np = 26.28 μm below the top surface of the panel, and the distance between the OLED layer and the neutral plane is therefore 0.28 μm and never changes. In the SCRP–CDSE framework the same quantity becomes a function of time. Because the modulus of the glue layer relaxes during the fold, the contribution of that layer to the weighted centroid of the stack decreases, and the neutral plane drifts downward, from 26.28 μm to 26.63 μm, i.e. by 0.35 μm, over 10⁴ s at 60 °C, as shown in Figure 10(a). The absolute displacement is small, but it corresponds to a 2.25-fold increase (+125%) in the distance between the OLED layer and the neutral plane, from 0.28 μm to 0.63 μm, and the drift of the neutral plane is therefore a first-order effect for the layer that the design is intended to protect.</w:t>
      </w:r>
    </w:p>
    <w:p>
      <w:pPr>
        <w:jc w:val="both"/>
      </w:pPr>
      <w:r>
        <w:rPr>
          <w:rFonts w:ascii="Times New Roman" w:hAnsi="Times New Roman"/>
          <w:b w:val="0"/>
          <w:sz w:val="21"/>
        </w:rPr>
        <w:t>The practical significance of this result is that the stress on the OLED layer increases with time even when the panel is held in a fixed fold. Under a constant fold, the geometric configuration of the panel never changes, so that a static model necessarily predicts a constant stress; but the relaxation of the adhesive continuously redistributes the bending moment towards the stiffer layers, and the functional layer is carried away from the neutral plane. The simultaneous relaxation of the adhesive lowers the transmitted moment at the same time, and the two effects partially cancel, so that the net result reported in Table 4 is a decrease in the peak stress. The important point is not the sign of the net change but the fact that the NPSO model cannot see either effect, and that the long-term reliability of the panel is decided by their balance.</w:t>
      </w:r>
    </w:p>
    <w:p>
      <w:pPr>
        <w:jc w:val="both"/>
      </w:pPr>
      <w:r>
        <w:rPr>
          <w:rFonts w:ascii="Times New Roman" w:hAnsi="Times New Roman"/>
          <w:b/>
          <w:sz w:val="21"/>
        </w:rPr>
        <w:t>Case 2: the life-optimal thickness is not the stress-optimal thickness.</w:t>
      </w:r>
      <w:r>
        <w:rPr>
          <w:rFonts w:ascii="Times New Roman" w:hAnsi="Times New Roman"/>
          <w:b w:val="0"/>
          <w:sz w:val="21"/>
        </w:rPr>
        <w:t xml:space="preserve"> The second case concerns the design objective itself. In Section 3.1 the thickness of the glue layer was selected so as to minimize the stress on the OLED layer, and the optimum was found at dGlue = 10 μm. When the same stack is analysed with the SCRP–CDSE framework, however, the predicted life does not reach its maximum at the same thickness. To quantify this, the glue-layer thickness was swept from 10 μm to 30 μm while all the other layers were kept at their optimized values, and both the peak OLED stress and the predicted life were recorded. At the thin end of the range (dGlue = 10 μm) the stress is 30.86 MPa and the life is 3.62 × 10⁵ cycles, whereas at the thick end (dGlue = 30 μm) the stress has risen to 47.09 MPa and the life has fallen back to 3.71 × 10⁵ cycles; the complete sweeps of the two indicators are plotted in Figure 11.</w:t>
      </w:r>
    </w:p>
    <w:p>
      <w:pPr>
        <w:jc w:val="both"/>
      </w:pPr>
      <w:r>
        <w:rPr>
          <w:rFonts w:ascii="Times New Roman" w:hAnsi="Times New Roman"/>
          <w:b w:val="0"/>
          <w:sz w:val="21"/>
        </w:rPr>
        <w:t>The two indicators behave in opposite ways. The peak OLED stress increases monotonically with the glue-layer thickness over the range that was examined, because a thicker compliant layer moves the functional layers further away from the neutral plane; the stress is therefore minimized at the thinnest glue layer, dGlue = 10 μm, exactly as the static optimization predicts. The predicted life, in contrast, increases with the glue-layer thickness up to about 20 μm and only then decreases, because a thicker adhesive dissipates a larger fraction of the bending energy per cycle and therefore reduces the energy release rate that is available to drive the interfacial damage. The life is therefore maximized at dGlue = 20 μm, which is twice the thickness that the stress-based design would select, and the difference is not marginal: the life at 20 μm exceeds the life at 10 μm by 18.8%.</w:t>
      </w:r>
    </w:p>
    <w:p>
      <w:pPr>
        <w:jc w:val="both"/>
      </w:pPr>
      <w:r>
        <w:rPr>
          <w:rFonts w:ascii="Times New Roman" w:hAnsi="Times New Roman"/>
          <w:b w:val="0"/>
          <w:sz w:val="21"/>
        </w:rPr>
        <w:t>This result is a practical consequence of the present framework that the NPSO model cannot reproduce. The thickness that minimizes the instantaneous stress and the thickness that maximizes the fatigue life are different design points, and a design that is optimized with respect to the stress alone is systematically sub-optimal with respect to the life. Because it is the life, and not the instantaneous stress, that determines whether a foldable panel survives the service life of a handset, the optimization objective of Equation (7) should be replaced by</w:t>
      </w:r>
    </w:p>
    <w:p>
      <w:pPr>
        <w:spacing w:before="80" w:after="80"/>
      </w:pPr>
      <w:r>
        <w:rPr>
          <w:rFonts w:ascii="Times New Roman" w:hAnsi="Times New Roman"/>
          <w:b w:val="0"/>
          <w:sz w:val="21"/>
        </w:rPr>
        <w:tab/>
        <w:t>max_d N_f(d) subject to σ_OLED(d) ≤ σ_allow</w:t>
        <w:tab/>
        <w:t>(35)</w:t>
      </w:r>
    </w:p>
    <w:p>
      <w:pPr>
        <w:jc w:val="both"/>
      </w:pPr>
      <w:r>
        <w:rPr>
          <w:rFonts w:ascii="Times New Roman" w:hAnsi="Times New Roman"/>
          <w:b w:val="0"/>
          <w:sz w:val="21"/>
        </w:rPr>
        <w:t>where σ_allow is the stress that the OLED layer can sustain without immediate cracking. Equation (35) is the objective function that the stress-based optimization of Section 3.1.3 approximates only when the two indicators happen to be monotone in the same direction, which, as the present case study shows, they are not.</w:t>
      </w:r>
    </w:p>
    <w:p>
      <w:pPr>
        <w:jc w:val="both"/>
      </w:pPr>
      <w:r>
        <w:rPr>
          <w:rFonts w:ascii="Times New Roman" w:hAnsi="Times New Roman"/>
          <w:b/>
          <w:sz w:val="21"/>
        </w:rPr>
        <w:t>Case 3: the quality of the interface, and why it dominates the geometry.</w:t>
      </w:r>
      <w:r>
        <w:rPr>
          <w:rFonts w:ascii="Times New Roman" w:hAnsi="Times New Roman"/>
          <w:b w:val="0"/>
          <w:sz w:val="21"/>
        </w:rPr>
        <w:t xml:space="preserve"> The third case concerns the interfacial fracture energy Gc, which is the parameter that the CDSE module introduces and that the NPSO model does not contain at all [12]. In the NPSO model the failure criterion is expressed in terms of the instantaneous strain of the functional layer, so that the predicted life is completely insensitive to the quality of the bond: the same value, 1.25 × 10⁵ cycles, is returned for every value of the interfacial fracture energy, and the curve that represents the NPSO model in Figure 12 is therefore a horizontal line. In the SCRP–CDSE framework the fracture energy enters the damage law of Equation (33) directly, and, because the ratio ΔG/Gc is raised to the fatigue exponent m = 3.6 that is calibrated in Table 2, the predicted life scales as</w:t>
      </w:r>
    </w:p>
    <w:p>
      <w:pPr>
        <w:spacing w:before="80" w:after="80"/>
      </w:pPr>
      <w:r>
        <w:rPr>
          <w:rFonts w:ascii="Times New Roman" w:hAnsi="Times New Roman"/>
          <w:b w:val="0"/>
          <w:sz w:val="21"/>
        </w:rPr>
        <w:tab/>
        <w:t>N_f \propto G_c^{ m}</w:t>
        <w:tab/>
        <w:t>(36)</w:t>
      </w:r>
    </w:p>
    <w:p>
      <w:pPr>
        <w:jc w:val="both"/>
      </w:pPr>
      <w:r>
        <w:rPr>
          <w:rFonts w:ascii="Times New Roman" w:hAnsi="Times New Roman"/>
          <w:b w:val="0"/>
          <w:sz w:val="21"/>
        </w:rPr>
        <w:t>for a fixed range of the cyclic energy release rate. The consequences of this scaling are plotted in Figure 12, where the fracture energy is allowed to vary by ±30% about the value that was calibrated in Section 4.1, i.e. from Gc/Gc0 = 0.70 to Gc/Gc0 = 1.30. The asymmetry is the point. A reduction of the fracture energy by 30%, which is the order of the degradation that a bond-line suffers after repeated folding, in a humid environment or after an imperfect lamination cycle, reduces the life of the SCRP–CDSE framework from 3.62 × 10⁵ to 1.00 × 10⁵ cycles, that is, by 72%; an improvement of the same magnitude raises it to 9.31 × 10⁵ cycles, that is, by 157%. In terms of a tolerance that a designer can act on, each 10% of interfacial fracture energy that is lost costs about 32% of the life, whereas the entire 10–30 μm sweep of the glue-layer thickness of Case 2, a factor of three in the geometry, moves the life by no more than 19%. The sensitivity to the interface is thus far larger than the sensitivity to the geometry, and it is entirely invisible to the NPSO model, which cannot distinguish a well-bonded panel from a badly bonded one.</w:t>
      </w:r>
    </w:p>
    <w:p>
      <w:pPr>
        <w:spacing w:before="200" w:after="80"/>
      </w:pPr>
      <w:r>
        <w:rPr>
          <w:rFonts w:ascii="Times New Roman" w:hAnsi="Times New Roman"/>
          <w:b/>
          <w:sz w:val="22"/>
        </w:rPr>
        <w:t>4.4 Discussion</w:t>
      </w:r>
    </w:p>
    <w:p>
      <w:pPr>
        <w:jc w:val="both"/>
      </w:pPr>
      <w:r>
        <w:rPr>
          <w:rFonts w:ascii="Times New Roman" w:hAnsi="Times New Roman"/>
          <w:b w:val="0"/>
          <w:sz w:val="21"/>
        </w:rPr>
        <w:t>The results of the preceding sections support four conclusions. First, the in-layer and inter-layer simplifications of the conventional neutral-plane model are not conservative approximations of the same effect but two independent sources of error, and each of them is removed by a distinct module: the SCRP module lowers the driving force that the functional layers experience, and the CDSE module converts that driving force into a fatigue life. Second, the two modules are complementary: the life that is predicted when both are active is larger than both the sum and the product of the improvements that each of them produces on its own, because the reduction of the driving force by the SCRP module is what makes the damage criterion of the CDSE module effective over a longer interval. Third, the design objective of a foldable panel should be expressed in terms of life rather than in terms of instantaneous stress, because the two are maximized at different thicknesses. Fourth, and most importantly, the reliability of a foldable panel is governed by the quality of the interface more than by the geometry of the stack: the NPSO model is blind to the interfacial fracture energy, whereas the present framework shows that each 10% of fracture energy that is lost removes about 32% of the life, an effect that is far larger than the entire geometric effect of the glue-layer thickness.</w:t>
      </w:r>
    </w:p>
    <w:p>
      <w:pPr>
        <w:jc w:val="both"/>
      </w:pPr>
      <w:r>
        <w:rPr>
          <w:rFonts w:ascii="Times New Roman" w:hAnsi="Times New Roman"/>
          <w:b w:val="0"/>
          <w:sz w:val="21"/>
        </w:rPr>
        <w:t>Several limitations of the present study should nevertheless be acknowledged. The analysis is two-dimensional and plane stress, so that the out-of-plane deformation and the corner effects of a real water-drop fold are not represented; the temperature range is limited to 25–60 °C, whereas a handset may be exposed to temperatures well below zero; the effect of absorbed moisture on the adhesive is not included; and the electrical degradation of the OLED layer is treated only through the mechanical stress, without any coupling to the luminance decay. Each of these effects can be introduced into the present framework without changing its architecture: the time–temperature superposition already built into the SCRP module can be extended to a wider temperature range, a moisture-dependent shift factor can be appended to the same relaxation spectrum, and the interfacial damage variable of the CDSE module can be linked to the luminance lifetime through the critical stress of the emissive layer. These extensions are left to future work.</w:t>
      </w:r>
    </w:p>
    <w:p>
      <w:pPr>
        <w:spacing w:before="200" w:after="80"/>
      </w:pPr>
      <w:r>
        <w:rPr>
          <w:rFonts w:ascii="Times New Roman" w:hAnsi="Times New Roman"/>
          <w:b/>
          <w:sz w:val="22"/>
        </w:rPr>
        <w:t>Figures</w:t>
      </w:r>
    </w:p>
    <w:p>
      <w:pPr>
        <w:spacing w:before="120" w:after="160"/>
        <w:jc w:val="left"/>
      </w:pPr>
      <w:r>
        <w:rPr>
          <w:rFonts w:ascii="Times New Roman" w:hAnsi="Times New Roman"/>
          <w:b w:val="0"/>
          <w:sz w:val="19"/>
        </w:rPr>
        <w:t>Figure 6  Specimen configuration and the pure-bending test setup: (a) the layer sequence of the laminated coupon, (b) the geometry of the pure-bending tester, and (c) the definition of the bending radius R.</w:t>
      </w:r>
    </w:p>
    <w:p>
      <w:pPr>
        <w:spacing w:before="120" w:after="160"/>
        <w:jc w:val="left"/>
      </w:pPr>
      <w:r>
        <w:rPr>
          <w:rFonts w:ascii="Times New Roman" w:hAnsi="Times New Roman"/>
          <w:b w:val="0"/>
          <w:sz w:val="19"/>
        </w:rPr>
        <w:t>Figure 7  Finite-element model of the foldable panel: (a) the mesh and the boundary conditions, and (b) an enlarged view of the bending zone showing the ten layers and the cohesive interfaces.</w:t>
      </w:r>
    </w:p>
    <w:p>
      <w:pPr>
        <w:spacing w:before="120" w:after="160"/>
        <w:jc w:val="left"/>
      </w:pPr>
      <w:r>
        <w:rPr>
          <w:rFonts w:ascii="Times New Roman" w:hAnsi="Times New Roman"/>
          <w:b w:val="0"/>
          <w:sz w:val="19"/>
        </w:rPr>
        <w:t>Figure 8  Distribution of the bending stress through the thickness of the panel at R = 1.5 mm: comparison between the NPSO baseline and the SCRP–CDSE framework.</w:t>
      </w:r>
    </w:p>
    <w:p>
      <w:pPr>
        <w:spacing w:before="120" w:after="160"/>
        <w:jc w:val="left"/>
      </w:pPr>
      <w:r>
        <w:rPr>
          <w:rFonts w:ascii="Times New Roman" w:hAnsi="Times New Roman"/>
          <w:b w:val="0"/>
          <w:sz w:val="19"/>
        </w:rPr>
        <w:t>Figure 9  Contour of the normal stress on the OLED layer in the bending zone: (a) the NPSO baseline and (b) the SCRP–CDSE framework.</w:t>
      </w:r>
    </w:p>
    <w:p>
      <w:pPr>
        <w:spacing w:before="120" w:after="160"/>
        <w:jc w:val="left"/>
      </w:pPr>
      <w:r>
        <w:rPr>
          <w:rFonts w:ascii="Times New Roman" w:hAnsi="Times New Roman"/>
          <w:b w:val="0"/>
          <w:sz w:val="19"/>
        </w:rPr>
        <w:t>Figure 10  Long-term response of the panel: (a) drift of the neutral-plane position z_np with time, and (b) evolution of the interfacial damage D with the number of bending cycles for the four configurations of the ablation experiment.</w:t>
      </w:r>
    </w:p>
    <w:p>
      <w:pPr>
        <w:spacing w:before="120" w:after="160"/>
        <w:jc w:val="left"/>
      </w:pPr>
      <w:r>
        <w:rPr>
          <w:rFonts w:ascii="Times New Roman" w:hAnsi="Times New Roman"/>
          <w:b w:val="0"/>
          <w:sz w:val="19"/>
        </w:rPr>
        <w:t>Figure 11  Case study of the thickness design: (a) peak OLED-layer stress and (b) predicted fatigue life Nf as functions of the glue-layer thickness dGlue.</w:t>
      </w:r>
    </w:p>
    <w:p>
      <w:pPr>
        <w:spacing w:before="120" w:after="160"/>
        <w:jc w:val="left"/>
      </w:pPr>
      <w:r>
        <w:rPr>
          <w:rFonts w:ascii="Times New Roman" w:hAnsi="Times New Roman"/>
          <w:b w:val="0"/>
          <w:sz w:val="19"/>
        </w:rPr>
        <w:t>Figure 12  Case study of the interfacial quality: predicted fatigue life Nf as a function of the interfacial fracture energy Gc for the NPSO baseline and for the SCRP–CDSE framework.</w:t>
      </w:r>
    </w:p>
    <w:p>
      <w:pPr>
        <w:spacing w:before="200" w:after="80"/>
      </w:pPr>
      <w:r>
        <w:rPr>
          <w:rFonts w:ascii="Times New Roman" w:hAnsi="Times New Roman"/>
          <w:b/>
          <w:sz w:val="22"/>
        </w:rPr>
        <w:t>Tables</w:t>
      </w:r>
    </w:p>
    <w:p>
      <w:pPr>
        <w:spacing w:before="120" w:after="160"/>
        <w:jc w:val="left"/>
      </w:pPr>
      <w:r>
        <w:rPr>
          <w:rFonts w:ascii="Times New Roman" w:hAnsi="Times New Roman"/>
          <w:b w:val="0"/>
          <w:sz w:val="19"/>
        </w:rPr>
        <w:t>Table 2  Calibrated parameters of the SCRP and CDSE modules.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20" w:after="20"/>
            </w:pPr>
            <w:r>
              <w:rPr>
                <w:rFonts w:ascii="Times New Roman" w:hAnsi="Times New Roman"/>
                <w:b/>
                <w:sz w:val="19"/>
              </w:rPr>
              <w:t>Module</w:t>
            </w:r>
          </w:p>
        </w:tc>
        <w:tc>
          <w:tcPr>
            <w:tcW w:type="dxa" w:w="2340"/>
          </w:tcPr>
          <w:p>
            <w:pPr>
              <w:spacing w:before="20" w:after="20"/>
            </w:pPr>
            <w:r>
              <w:rPr>
                <w:rFonts w:ascii="Times New Roman" w:hAnsi="Times New Roman"/>
                <w:b/>
                <w:sz w:val="19"/>
              </w:rPr>
              <w:t>Parameter</w:t>
            </w:r>
          </w:p>
        </w:tc>
        <w:tc>
          <w:tcPr>
            <w:tcW w:type="dxa" w:w="2340"/>
          </w:tcPr>
          <w:p>
            <w:pPr>
              <w:spacing w:before="20" w:after="20"/>
            </w:pPr>
            <w:r>
              <w:rPr>
                <w:rFonts w:ascii="Times New Roman" w:hAnsi="Times New Roman"/>
                <w:b/>
                <w:sz w:val="19"/>
              </w:rPr>
              <w:t>Value</w:t>
            </w:r>
          </w:p>
        </w:tc>
        <w:tc>
          <w:tcPr>
            <w:tcW w:type="dxa" w:w="2340"/>
          </w:tcPr>
          <w:p>
            <w:pPr>
              <w:spacing w:before="20" w:after="20"/>
            </w:pPr>
            <w:r>
              <w:rPr>
                <w:rFonts w:ascii="Times New Roman" w:hAnsi="Times New Roman"/>
                <w:b/>
                <w:sz w:val="19"/>
              </w:rPr>
              <w:t>Identification method</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E0 (instantaneous modulus)</w:t>
            </w:r>
          </w:p>
        </w:tc>
        <w:tc>
          <w:tcPr>
            <w:tcW w:type="dxa" w:w="2340"/>
          </w:tcPr>
          <w:p>
            <w:pPr>
              <w:spacing w:before="20" w:after="20"/>
            </w:pPr>
            <w:r>
              <w:rPr>
                <w:rFonts w:ascii="Times New Roman" w:hAnsi="Times New Roman"/>
                <w:b w:val="0"/>
                <w:sz w:val="19"/>
              </w:rPr>
              <w:t>3.2 GPa</w:t>
            </w:r>
          </w:p>
        </w:tc>
        <w:tc>
          <w:tcPr>
            <w:tcW w:type="dxa" w:w="2340"/>
          </w:tcPr>
          <w:p>
            <w:pPr>
              <w:spacing w:before="20" w:after="20"/>
            </w:pPr>
            <w:r>
              <w:rPr>
                <w:rFonts w:ascii="Times New Roman" w:hAnsi="Times New Roman"/>
                <w:b w:val="0"/>
                <w:sz w:val="19"/>
              </w:rPr>
              <w:t>Kept identical to the NPSO model</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E∞ (long-term modulus)</w:t>
            </w:r>
          </w:p>
        </w:tc>
        <w:tc>
          <w:tcPr>
            <w:tcW w:type="dxa" w:w="2340"/>
          </w:tcPr>
          <w:p>
            <w:pPr>
              <w:spacing w:before="20" w:after="20"/>
            </w:pPr>
            <w:r>
              <w:rPr>
                <w:rFonts w:ascii="Times New Roman" w:hAnsi="Times New Roman"/>
                <w:b w:val="0"/>
                <w:sz w:val="19"/>
              </w:rPr>
              <w:t>0.48 GPa</w:t>
            </w:r>
          </w:p>
        </w:tc>
        <w:tc>
          <w:tcPr>
            <w:tcW w:type="dxa" w:w="2340"/>
          </w:tcPr>
          <w:p>
            <w:pPr>
              <w:spacing w:before="20" w:after="20"/>
            </w:pPr>
            <w:r>
              <w:rPr>
                <w:rFonts w:ascii="Times New Roman" w:hAnsi="Times New Roman"/>
                <w:b w:val="0"/>
                <w:sz w:val="19"/>
              </w:rPr>
              <w:t>E0(1 − Σgi)</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g1, τ1</w:t>
            </w:r>
          </w:p>
        </w:tc>
        <w:tc>
          <w:tcPr>
            <w:tcW w:type="dxa" w:w="2340"/>
          </w:tcPr>
          <w:p>
            <w:pPr>
              <w:spacing w:before="20" w:after="20"/>
            </w:pPr>
            <w:r>
              <w:rPr>
                <w:rFonts w:ascii="Times New Roman" w:hAnsi="Times New Roman"/>
                <w:b w:val="0"/>
                <w:sz w:val="19"/>
              </w:rPr>
              <w:t>0.4590, 15.115 s</w:t>
            </w:r>
          </w:p>
        </w:tc>
        <w:tc>
          <w:tcPr>
            <w:tcW w:type="dxa" w:w="2340"/>
          </w:tcPr>
          <w:p>
            <w:pPr>
              <w:spacing w:before="20" w:after="20"/>
            </w:pPr>
            <w:r>
              <w:rPr>
                <w:rFonts w:ascii="Times New Roman" w:hAnsi="Times New Roman"/>
                <w:b w:val="0"/>
                <w:sz w:val="19"/>
              </w:rPr>
              <w:t>Stress relaxation at 25, 40 and 60 °C</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g2, τ2</w:t>
            </w:r>
          </w:p>
        </w:tc>
        <w:tc>
          <w:tcPr>
            <w:tcW w:type="dxa" w:w="2340"/>
          </w:tcPr>
          <w:p>
            <w:pPr>
              <w:spacing w:before="20" w:after="20"/>
            </w:pPr>
            <w:r>
              <w:rPr>
                <w:rFonts w:ascii="Times New Roman" w:hAnsi="Times New Roman"/>
                <w:b w:val="0"/>
                <w:sz w:val="19"/>
              </w:rPr>
              <w:t>0.2371, 66.512 s</w:t>
            </w:r>
          </w:p>
        </w:tc>
        <w:tc>
          <w:tcPr>
            <w:tcW w:type="dxa" w:w="2340"/>
          </w:tcPr>
          <w:p>
            <w:pPr>
              <w:spacing w:before="20" w:after="20"/>
            </w:pPr>
            <w:r>
              <w:rPr>
                <w:rFonts w:ascii="Times New Roman" w:hAnsi="Times New Roman"/>
                <w:b w:val="0"/>
                <w:sz w:val="19"/>
              </w:rPr>
              <w:t>Stress relaxation at 25, 40 and 60 °C</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g3, τ3</w:t>
            </w:r>
          </w:p>
        </w:tc>
        <w:tc>
          <w:tcPr>
            <w:tcW w:type="dxa" w:w="2340"/>
          </w:tcPr>
          <w:p>
            <w:pPr>
              <w:spacing w:before="20" w:after="20"/>
            </w:pPr>
            <w:r>
              <w:rPr>
                <w:rFonts w:ascii="Times New Roman" w:hAnsi="Times New Roman"/>
                <w:b w:val="0"/>
                <w:sz w:val="19"/>
              </w:rPr>
              <w:t>0.1538, 338.661 s</w:t>
            </w:r>
          </w:p>
        </w:tc>
        <w:tc>
          <w:tcPr>
            <w:tcW w:type="dxa" w:w="2340"/>
          </w:tcPr>
          <w:p>
            <w:pPr>
              <w:spacing w:before="20" w:after="20"/>
            </w:pPr>
            <w:r>
              <w:rPr>
                <w:rFonts w:ascii="Times New Roman" w:hAnsi="Times New Roman"/>
                <w:b w:val="0"/>
                <w:sz w:val="19"/>
              </w:rPr>
              <w:t>Stress relaxation at 25, 40 and 60 °C</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Xc (saturation back stress)</w:t>
            </w:r>
          </w:p>
        </w:tc>
        <w:tc>
          <w:tcPr>
            <w:tcW w:type="dxa" w:w="2340"/>
          </w:tcPr>
          <w:p>
            <w:pPr>
              <w:spacing w:before="20" w:after="20"/>
            </w:pPr>
            <w:r>
              <w:rPr>
                <w:rFonts w:ascii="Times New Roman" w:hAnsi="Times New Roman"/>
                <w:b w:val="0"/>
                <w:sz w:val="19"/>
              </w:rPr>
              <w:t>0.28 MPa</w:t>
            </w:r>
          </w:p>
        </w:tc>
        <w:tc>
          <w:tcPr>
            <w:tcW w:type="dxa" w:w="2340"/>
          </w:tcPr>
          <w:p>
            <w:pPr>
              <w:spacing w:before="20" w:after="20"/>
            </w:pPr>
            <w:r>
              <w:rPr>
                <w:rFonts w:ascii="Times New Roman" w:hAnsi="Times New Roman"/>
                <w:b w:val="0"/>
                <w:sz w:val="19"/>
              </w:rPr>
              <w:t>Creep–recovery test</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κ (back-stress evolution rate)</w:t>
            </w:r>
          </w:p>
        </w:tc>
        <w:tc>
          <w:tcPr>
            <w:tcW w:type="dxa" w:w="2340"/>
          </w:tcPr>
          <w:p>
            <w:pPr>
              <w:spacing w:before="20" w:after="20"/>
            </w:pPr>
            <w:r>
              <w:rPr>
                <w:rFonts w:ascii="Times New Roman" w:hAnsi="Times New Roman"/>
                <w:b w:val="0"/>
                <w:sz w:val="19"/>
              </w:rPr>
              <w:t>55</w:t>
            </w:r>
          </w:p>
        </w:tc>
        <w:tc>
          <w:tcPr>
            <w:tcW w:type="dxa" w:w="2340"/>
          </w:tcPr>
          <w:p>
            <w:pPr>
              <w:spacing w:before="20" w:after="20"/>
            </w:pPr>
            <w:r>
              <w:rPr>
                <w:rFonts w:ascii="Times New Roman" w:hAnsi="Times New Roman"/>
                <w:b w:val="0"/>
                <w:sz w:val="19"/>
              </w:rPr>
              <w:t>Creep–recovery test</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σ0 (detrapping stress)</w:t>
            </w:r>
          </w:p>
        </w:tc>
        <w:tc>
          <w:tcPr>
            <w:tcW w:type="dxa" w:w="2340"/>
          </w:tcPr>
          <w:p>
            <w:pPr>
              <w:spacing w:before="20" w:after="20"/>
            </w:pPr>
            <w:r>
              <w:rPr>
                <w:rFonts w:ascii="Times New Roman" w:hAnsi="Times New Roman"/>
                <w:b w:val="0"/>
                <w:sz w:val="19"/>
              </w:rPr>
              <w:t>0.06 MPa</w:t>
            </w:r>
          </w:p>
        </w:tc>
        <w:tc>
          <w:tcPr>
            <w:tcW w:type="dxa" w:w="2340"/>
          </w:tcPr>
          <w:p>
            <w:pPr>
              <w:spacing w:before="20" w:after="20"/>
            </w:pPr>
            <w:r>
              <w:rPr>
                <w:rFonts w:ascii="Times New Roman" w:hAnsi="Times New Roman"/>
                <w:b w:val="0"/>
                <w:sz w:val="19"/>
              </w:rPr>
              <w:t>Creep–recovery test</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m (power-law exponent)</w:t>
            </w:r>
          </w:p>
        </w:tc>
        <w:tc>
          <w:tcPr>
            <w:tcW w:type="dxa" w:w="2340"/>
          </w:tcPr>
          <w:p>
            <w:pPr>
              <w:spacing w:before="20" w:after="20"/>
            </w:pPr>
            <w:r>
              <w:rPr>
                <w:rFonts w:ascii="Times New Roman" w:hAnsi="Times New Roman"/>
                <w:b w:val="0"/>
                <w:sz w:val="19"/>
              </w:rPr>
              <w:t>2.4</w:t>
            </w:r>
          </w:p>
        </w:tc>
        <w:tc>
          <w:tcPr>
            <w:tcW w:type="dxa" w:w="2340"/>
          </w:tcPr>
          <w:p>
            <w:pPr>
              <w:spacing w:before="20" w:after="20"/>
            </w:pPr>
            <w:r>
              <w:rPr>
                <w:rFonts w:ascii="Times New Roman" w:hAnsi="Times New Roman"/>
                <w:b w:val="0"/>
                <w:sz w:val="19"/>
              </w:rPr>
              <w:t>Creep–recovery test</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K0 (initial stiffness)</w:t>
            </w:r>
          </w:p>
        </w:tc>
        <w:tc>
          <w:tcPr>
            <w:tcW w:type="dxa" w:w="2340"/>
          </w:tcPr>
          <w:p>
            <w:pPr>
              <w:spacing w:before="20" w:after="20"/>
            </w:pPr>
            <w:r>
              <w:rPr>
                <w:rFonts w:ascii="Times New Roman" w:hAnsi="Times New Roman"/>
                <w:b w:val="0"/>
                <w:sz w:val="19"/>
              </w:rPr>
              <w:t>3.11 × 10¹³ Pa/m</w:t>
            </w:r>
          </w:p>
        </w:tc>
        <w:tc>
          <w:tcPr>
            <w:tcW w:type="dxa" w:w="2340"/>
          </w:tcPr>
          <w:p>
            <w:pPr>
              <w:spacing w:before="20" w:after="20"/>
            </w:pPr>
            <w:r>
              <w:rPr>
                <w:rFonts w:ascii="Times New Roman" w:hAnsi="Times New Roman"/>
                <w:b w:val="0"/>
                <w:sz w:val="19"/>
              </w:rPr>
              <w:t>Nanoindentation inversion</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σmax (interfacial strength)</w:t>
            </w:r>
          </w:p>
        </w:tc>
        <w:tc>
          <w:tcPr>
            <w:tcW w:type="dxa" w:w="2340"/>
          </w:tcPr>
          <w:p>
            <w:pPr>
              <w:spacing w:before="20" w:after="20"/>
            </w:pPr>
            <w:r>
              <w:rPr>
                <w:rFonts w:ascii="Times New Roman" w:hAnsi="Times New Roman"/>
                <w:b w:val="0"/>
                <w:sz w:val="19"/>
              </w:rPr>
              <w:t>92.7 MPa</w:t>
            </w:r>
          </w:p>
        </w:tc>
        <w:tc>
          <w:tcPr>
            <w:tcW w:type="dxa" w:w="2340"/>
          </w:tcPr>
          <w:p>
            <w:pPr>
              <w:spacing w:before="20" w:after="20"/>
            </w:pPr>
            <w:r>
              <w:rPr>
                <w:rFonts w:ascii="Times New Roman" w:hAnsi="Times New Roman"/>
                <w:b w:val="0"/>
                <w:sz w:val="19"/>
              </w:rPr>
              <w:t>Nanoindentation inversion</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δi (damage initiation)</w:t>
            </w:r>
          </w:p>
        </w:tc>
        <w:tc>
          <w:tcPr>
            <w:tcW w:type="dxa" w:w="2340"/>
          </w:tcPr>
          <w:p>
            <w:pPr>
              <w:spacing w:before="20" w:after="20"/>
            </w:pPr>
            <w:r>
              <w:rPr>
                <w:rFonts w:ascii="Times New Roman" w:hAnsi="Times New Roman"/>
                <w:b w:val="0"/>
                <w:sz w:val="19"/>
              </w:rPr>
              <w:t>2.98 μm</w:t>
            </w:r>
          </w:p>
        </w:tc>
        <w:tc>
          <w:tcPr>
            <w:tcW w:type="dxa" w:w="2340"/>
          </w:tcPr>
          <w:p>
            <w:pPr>
              <w:spacing w:before="20" w:after="20"/>
            </w:pPr>
            <w:r>
              <w:rPr>
                <w:rFonts w:ascii="Times New Roman" w:hAnsi="Times New Roman"/>
                <w:b w:val="0"/>
                <w:sz w:val="19"/>
              </w:rPr>
              <w:t>Nanoindentation inversion</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δf (separation at failure)</w:t>
            </w:r>
          </w:p>
        </w:tc>
        <w:tc>
          <w:tcPr>
            <w:tcW w:type="dxa" w:w="2340"/>
          </w:tcPr>
          <w:p>
            <w:pPr>
              <w:spacing w:before="20" w:after="20"/>
            </w:pPr>
            <w:r>
              <w:rPr>
                <w:rFonts w:ascii="Times New Roman" w:hAnsi="Times New Roman"/>
                <w:b w:val="0"/>
                <w:sz w:val="19"/>
              </w:rPr>
              <w:t>4.39 μm</w:t>
            </w:r>
          </w:p>
        </w:tc>
        <w:tc>
          <w:tcPr>
            <w:tcW w:type="dxa" w:w="2340"/>
          </w:tcPr>
          <w:p>
            <w:pPr>
              <w:spacing w:before="20" w:after="20"/>
            </w:pPr>
            <w:r>
              <w:rPr>
                <w:rFonts w:ascii="Times New Roman" w:hAnsi="Times New Roman"/>
                <w:b w:val="0"/>
                <w:sz w:val="19"/>
              </w:rPr>
              <w:t>Nanoindentation inversion</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GIc / GIIc</w:t>
            </w:r>
          </w:p>
        </w:tc>
        <w:tc>
          <w:tcPr>
            <w:tcW w:type="dxa" w:w="2340"/>
          </w:tcPr>
          <w:p>
            <w:pPr>
              <w:spacing w:before="20" w:after="20"/>
            </w:pPr>
            <w:r>
              <w:rPr>
                <w:rFonts w:ascii="Times New Roman" w:hAnsi="Times New Roman"/>
                <w:b w:val="0"/>
                <w:sz w:val="19"/>
              </w:rPr>
              <w:t>78.5 / 203.5 J/m²</w:t>
            </w:r>
          </w:p>
        </w:tc>
        <w:tc>
          <w:tcPr>
            <w:tcW w:type="dxa" w:w="2340"/>
          </w:tcPr>
          <w:p>
            <w:pPr>
              <w:spacing w:before="20" w:after="20"/>
            </w:pPr>
            <w:r>
              <w:rPr>
                <w:rFonts w:ascii="Times New Roman" w:hAnsi="Times New Roman"/>
                <w:b w:val="0"/>
                <w:sz w:val="19"/>
              </w:rPr>
              <w:t>GIc from the mixed-mode fracture test; GIIc = ½σmaxδf (Eq. 23)</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c (damage coefficient)</w:t>
            </w:r>
          </w:p>
        </w:tc>
        <w:tc>
          <w:tcPr>
            <w:tcW w:type="dxa" w:w="2340"/>
          </w:tcPr>
          <w:p>
            <w:pPr>
              <w:spacing w:before="20" w:after="20"/>
            </w:pPr>
            <w:r>
              <w:rPr>
                <w:rFonts w:ascii="Times New Roman" w:hAnsi="Times New Roman"/>
                <w:b w:val="0"/>
                <w:sz w:val="19"/>
              </w:rPr>
              <w:t>1.8 × 10⁻⁴</w:t>
            </w:r>
          </w:p>
        </w:tc>
        <w:tc>
          <w:tcPr>
            <w:tcW w:type="dxa" w:w="2340"/>
          </w:tcPr>
          <w:p>
            <w:pPr>
              <w:spacing w:before="20" w:after="20"/>
            </w:pPr>
            <w:r>
              <w:rPr>
                <w:rFonts w:ascii="Times New Roman" w:hAnsi="Times New Roman"/>
                <w:b w:val="0"/>
                <w:sz w:val="19"/>
              </w:rPr>
              <w:t>Repeated-bending endurance test</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m (fatigue exponent)</w:t>
            </w:r>
          </w:p>
        </w:tc>
        <w:tc>
          <w:tcPr>
            <w:tcW w:type="dxa" w:w="2340"/>
          </w:tcPr>
          <w:p>
            <w:pPr>
              <w:spacing w:before="20" w:after="20"/>
            </w:pPr>
            <w:r>
              <w:rPr>
                <w:rFonts w:ascii="Times New Roman" w:hAnsi="Times New Roman"/>
                <w:b w:val="0"/>
                <w:sz w:val="19"/>
              </w:rPr>
              <w:t>3.6</w:t>
            </w:r>
          </w:p>
        </w:tc>
        <w:tc>
          <w:tcPr>
            <w:tcW w:type="dxa" w:w="2340"/>
          </w:tcPr>
          <w:p>
            <w:pPr>
              <w:spacing w:before="20" w:after="20"/>
            </w:pPr>
            <w:r>
              <w:rPr>
                <w:rFonts w:ascii="Times New Roman" w:hAnsi="Times New Roman"/>
                <w:b w:val="0"/>
                <w:sz w:val="19"/>
              </w:rPr>
              <w:t>Repeated-bending endurance test</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α (mode-mixity parameter)</w:t>
            </w:r>
          </w:p>
        </w:tc>
        <w:tc>
          <w:tcPr>
            <w:tcW w:type="dxa" w:w="2340"/>
          </w:tcPr>
          <w:p>
            <w:pPr>
              <w:spacing w:before="20" w:after="20"/>
            </w:pPr>
            <w:r>
              <w:rPr>
                <w:rFonts w:ascii="Times New Roman" w:hAnsi="Times New Roman"/>
                <w:b w:val="0"/>
                <w:sz w:val="19"/>
              </w:rPr>
              <w:t>1.5</w:t>
            </w:r>
          </w:p>
        </w:tc>
        <w:tc>
          <w:tcPr>
            <w:tcW w:type="dxa" w:w="2340"/>
          </w:tcPr>
          <w:p>
            <w:pPr>
              <w:spacing w:before="20" w:after="20"/>
            </w:pPr>
            <w:r>
              <w:rPr>
                <w:rFonts w:ascii="Times New Roman" w:hAnsi="Times New Roman"/>
                <w:b w:val="0"/>
                <w:sz w:val="19"/>
              </w:rPr>
              <w:t>Assumed, mode-I/II mixture</w:t>
            </w:r>
          </w:p>
        </w:tc>
      </w:tr>
    </w:tbl>
    <w:p>
      <w:pPr>
        <w:spacing w:before="120" w:after="160"/>
        <w:jc w:val="left"/>
      </w:pPr>
      <w:r>
        <w:rPr>
          <w:rFonts w:ascii="Times New Roman" w:hAnsi="Times New Roman"/>
          <w:b w:val="0"/>
          <w:sz w:val="19"/>
        </w:rPr>
        <w:t>Table 3  Comparison of the proposed framework with representative studies on the mechanical reliability of flexible and foldable displays.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20" w:after="20"/>
            </w:pPr>
            <w:r>
              <w:rPr>
                <w:rFonts w:ascii="Times New Roman" w:hAnsi="Times New Roman"/>
                <w:b/>
                <w:sz w:val="19"/>
              </w:rPr>
              <w:t>Study</w:t>
            </w:r>
          </w:p>
        </w:tc>
        <w:tc>
          <w:tcPr>
            <w:tcW w:type="dxa" w:w="1560"/>
          </w:tcPr>
          <w:p>
            <w:pPr>
              <w:spacing w:before="20" w:after="20"/>
            </w:pPr>
            <w:r>
              <w:rPr>
                <w:rFonts w:ascii="Times New Roman" w:hAnsi="Times New Roman"/>
                <w:b/>
                <w:sz w:val="19"/>
              </w:rPr>
              <w:t>Year</w:t>
            </w:r>
          </w:p>
        </w:tc>
        <w:tc>
          <w:tcPr>
            <w:tcW w:type="dxa" w:w="1560"/>
          </w:tcPr>
          <w:p>
            <w:pPr>
              <w:spacing w:before="20" w:after="20"/>
            </w:pPr>
            <w:r>
              <w:rPr>
                <w:rFonts w:ascii="Times New Roman" w:hAnsi="Times New Roman"/>
                <w:b/>
                <w:sz w:val="19"/>
              </w:rPr>
              <w:t>Method</w:t>
            </w:r>
          </w:p>
        </w:tc>
        <w:tc>
          <w:tcPr>
            <w:tcW w:type="dxa" w:w="1560"/>
          </w:tcPr>
          <w:p>
            <w:pPr>
              <w:spacing w:before="20" w:after="20"/>
            </w:pPr>
            <w:r>
              <w:rPr>
                <w:rFonts w:ascii="Times New Roman" w:hAnsi="Times New Roman"/>
                <w:b/>
                <w:sz w:val="19"/>
              </w:rPr>
              <w:t>Optimized variable</w:t>
            </w:r>
          </w:p>
        </w:tc>
        <w:tc>
          <w:tcPr>
            <w:tcW w:type="dxa" w:w="1560"/>
          </w:tcPr>
          <w:p>
            <w:pPr>
              <w:spacing w:before="20" w:after="20"/>
            </w:pPr>
            <w:r>
              <w:rPr>
                <w:rFonts w:ascii="Times New Roman" w:hAnsi="Times New Roman"/>
                <w:b/>
                <w:sz w:val="19"/>
              </w:rPr>
              <w:t>Reported improvement</w:t>
            </w:r>
          </w:p>
        </w:tc>
        <w:tc>
          <w:tcPr>
            <w:tcW w:type="dxa" w:w="1560"/>
          </w:tcPr>
          <w:p>
            <w:pPr>
              <w:spacing w:before="20" w:after="20"/>
            </w:pPr>
            <w:r>
              <w:rPr>
                <w:rFonts w:ascii="Times New Roman" w:hAnsi="Times New Roman"/>
                <w:b/>
                <w:sz w:val="19"/>
              </w:rPr>
              <w:t>Fatigue life</w:t>
            </w:r>
          </w:p>
        </w:tc>
      </w:tr>
      <w:tr>
        <w:tc>
          <w:tcPr>
            <w:tcW w:type="dxa" w:w="1560"/>
          </w:tcPr>
          <w:p>
            <w:pPr>
              <w:spacing w:before="20" w:after="20"/>
            </w:pPr>
            <w:r>
              <w:rPr>
                <w:rFonts w:ascii="Times New Roman" w:hAnsi="Times New Roman"/>
                <w:b w:val="0"/>
                <w:sz w:val="19"/>
              </w:rPr>
              <w:t>Feng et al. [5]</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Elastic neutral plane + genetic algorithm</w:t>
            </w:r>
          </w:p>
        </w:tc>
        <w:tc>
          <w:tcPr>
            <w:tcW w:type="dxa" w:w="1560"/>
          </w:tcPr>
          <w:p>
            <w:pPr>
              <w:spacing w:before="20" w:after="20"/>
            </w:pPr>
            <w:r>
              <w:rPr>
                <w:rFonts w:ascii="Times New Roman" w:hAnsi="Times New Roman"/>
                <w:b w:val="0"/>
                <w:sz w:val="19"/>
              </w:rPr>
              <w:t>Layer thickness</w:t>
            </w:r>
          </w:p>
        </w:tc>
        <w:tc>
          <w:tcPr>
            <w:tcW w:type="dxa" w:w="1560"/>
          </w:tcPr>
          <w:p>
            <w:pPr>
              <w:spacing w:before="20" w:after="20"/>
            </w:pPr>
            <w:r>
              <w:rPr>
                <w:rFonts w:ascii="Times New Roman" w:hAnsi="Times New Roman"/>
                <w:b w:val="0"/>
                <w:sz w:val="19"/>
              </w:rPr>
              <w:t>Summed stress of the emissive stack 64.82 → 58.64 MPa (−9.5%)</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Zhang et al. [33]</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Non-linear FEA including adhesive creep</w:t>
            </w:r>
          </w:p>
        </w:tc>
        <w:tc>
          <w:tcPr>
            <w:tcW w:type="dxa" w:w="1560"/>
          </w:tcPr>
          <w:p>
            <w:pPr>
              <w:spacing w:before="20" w:after="20"/>
            </w:pPr>
            <w:r>
              <w:rPr>
                <w:rFonts w:ascii="Times New Roman" w:hAnsi="Times New Roman"/>
                <w:b w:val="0"/>
                <w:sz w:val="19"/>
              </w:rPr>
              <w:t>Folding programme</w:t>
            </w:r>
          </w:p>
        </w:tc>
        <w:tc>
          <w:tcPr>
            <w:tcW w:type="dxa" w:w="1560"/>
          </w:tcPr>
          <w:p>
            <w:pPr>
              <w:spacing w:before="20" w:after="20"/>
            </w:pPr>
            <w:r>
              <w:rPr>
                <w:rFonts w:ascii="Times New Roman" w:hAnsi="Times New Roman"/>
                <w:b w:val="0"/>
                <w:sz w:val="19"/>
              </w:rPr>
              <w:t>Unfolding stress risk increased by up to 620%</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Huang et al. [8]</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Support-layer modulus patterning</w:t>
            </w:r>
          </w:p>
        </w:tc>
        <w:tc>
          <w:tcPr>
            <w:tcW w:type="dxa" w:w="1560"/>
          </w:tcPr>
          <w:p>
            <w:pPr>
              <w:spacing w:before="20" w:after="20"/>
            </w:pPr>
            <w:r>
              <w:rPr>
                <w:rFonts w:ascii="Times New Roman" w:hAnsi="Times New Roman"/>
                <w:b w:val="0"/>
                <w:sz w:val="19"/>
              </w:rPr>
              <w:t>Modulus distribution</w:t>
            </w:r>
          </w:p>
        </w:tc>
        <w:tc>
          <w:tcPr>
            <w:tcW w:type="dxa" w:w="1560"/>
          </w:tcPr>
          <w:p>
            <w:pPr>
              <w:spacing w:before="20" w:after="20"/>
            </w:pPr>
            <w:r>
              <w:rPr>
                <w:rFonts w:ascii="Times New Roman" w:hAnsi="Times New Roman"/>
                <w:b w:val="0"/>
                <w:sz w:val="19"/>
              </w:rPr>
              <w:t>Adhesive normal stress −0.398 → −0.2203 MPa (−44.6%)</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Li et al. [18]</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Water-drop FEA</w:t>
            </w:r>
          </w:p>
        </w:tc>
        <w:tc>
          <w:tcPr>
            <w:tcW w:type="dxa" w:w="1560"/>
          </w:tcPr>
          <w:p>
            <w:pPr>
              <w:spacing w:before="20" w:after="20"/>
            </w:pPr>
            <w:r>
              <w:rPr>
                <w:rFonts w:ascii="Times New Roman" w:hAnsi="Times New Roman"/>
                <w:b w:val="0"/>
                <w:sz w:val="19"/>
              </w:rPr>
              <w:t>Adhesive selection</w:t>
            </w:r>
          </w:p>
        </w:tc>
        <w:tc>
          <w:tcPr>
            <w:tcW w:type="dxa" w:w="1560"/>
          </w:tcPr>
          <w:p>
            <w:pPr>
              <w:spacing w:before="20" w:after="20"/>
            </w:pPr>
            <w:r>
              <w:rPr>
                <w:rFonts w:ascii="Times New Roman" w:hAnsi="Times New Roman"/>
                <w:b w:val="0"/>
                <w:sz w:val="19"/>
              </w:rPr>
              <w:t>Bending endurance +66.7%</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Zheng et al. [7]</w:t>
            </w:r>
          </w:p>
        </w:tc>
        <w:tc>
          <w:tcPr>
            <w:tcW w:type="dxa" w:w="1560"/>
          </w:tcPr>
          <w:p>
            <w:pPr>
              <w:spacing w:before="20" w:after="20"/>
            </w:pPr>
            <w:r>
              <w:rPr>
                <w:rFonts w:ascii="Times New Roman" w:hAnsi="Times New Roman"/>
                <w:b w:val="0"/>
                <w:sz w:val="19"/>
              </w:rPr>
              <w:t>2024</w:t>
            </w:r>
          </w:p>
        </w:tc>
        <w:tc>
          <w:tcPr>
            <w:tcW w:type="dxa" w:w="1560"/>
          </w:tcPr>
          <w:p>
            <w:pPr>
              <w:spacing w:before="20" w:after="20"/>
            </w:pPr>
            <w:r>
              <w:rPr>
                <w:rFonts w:ascii="Times New Roman" w:hAnsi="Times New Roman"/>
                <w:b w:val="0"/>
                <w:sz w:val="19"/>
              </w:rPr>
              <w:t>CPI cover film and stack optimization</w:t>
            </w:r>
          </w:p>
        </w:tc>
        <w:tc>
          <w:tcPr>
            <w:tcW w:type="dxa" w:w="1560"/>
          </w:tcPr>
          <w:p>
            <w:pPr>
              <w:spacing w:before="20" w:after="20"/>
            </w:pPr>
            <w:r>
              <w:rPr>
                <w:rFonts w:ascii="Times New Roman" w:hAnsi="Times New Roman"/>
                <w:b w:val="0"/>
                <w:sz w:val="19"/>
              </w:rPr>
              <w:t>CPI position and thickness</w:t>
            </w:r>
          </w:p>
        </w:tc>
        <w:tc>
          <w:tcPr>
            <w:tcW w:type="dxa" w:w="1560"/>
          </w:tcPr>
          <w:p>
            <w:pPr>
              <w:spacing w:before="20" w:after="20"/>
            </w:pPr>
            <w:r>
              <w:rPr>
                <w:rFonts w:ascii="Times New Roman" w:hAnsi="Times New Roman"/>
                <w:b w:val="0"/>
                <w:sz w:val="19"/>
              </w:rPr>
              <w:t>CPI plastic strain −79.6%, OLED strain −35.4%</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Wu et al. [4]</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Single and multiple neutral layers</w:t>
            </w:r>
          </w:p>
        </w:tc>
        <w:tc>
          <w:tcPr>
            <w:tcW w:type="dxa" w:w="1560"/>
          </w:tcPr>
          <w:p>
            <w:pPr>
              <w:spacing w:before="20" w:after="20"/>
            </w:pPr>
            <w:r>
              <w:rPr>
                <w:rFonts w:ascii="Times New Roman" w:hAnsi="Times New Roman"/>
                <w:b w:val="0"/>
                <w:sz w:val="19"/>
              </w:rPr>
              <w:t>Layer thickness and OCA modulus</w:t>
            </w:r>
          </w:p>
        </w:tc>
        <w:tc>
          <w:tcPr>
            <w:tcW w:type="dxa" w:w="1560"/>
          </w:tcPr>
          <w:p>
            <w:pPr>
              <w:spacing w:before="20" w:after="20"/>
            </w:pPr>
            <w:r>
              <w:rPr>
                <w:rFonts w:ascii="Times New Roman" w:hAnsi="Times New Roman"/>
                <w:b w:val="0"/>
                <w:sz w:val="19"/>
              </w:rPr>
              <w:t>ITO failure bending radius −50%, ITO strain 5.6% → ≈ 0</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Ranka et al. [2]</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Interlayer engineering</w:t>
            </w:r>
          </w:p>
        </w:tc>
        <w:tc>
          <w:tcPr>
            <w:tcW w:type="dxa" w:w="1560"/>
          </w:tcPr>
          <w:p>
            <w:pPr>
              <w:spacing w:before="20" w:after="20"/>
            </w:pPr>
            <w:r>
              <w:rPr>
                <w:rFonts w:ascii="Times New Roman" w:hAnsi="Times New Roman"/>
                <w:b w:val="0"/>
                <w:sz w:val="19"/>
              </w:rPr>
              <w:t>Interlayer stiffness</w:t>
            </w:r>
          </w:p>
        </w:tc>
        <w:tc>
          <w:tcPr>
            <w:tcW w:type="dxa" w:w="1560"/>
          </w:tcPr>
          <w:p>
            <w:pPr>
              <w:spacing w:before="20" w:after="20"/>
            </w:pPr>
            <w:r>
              <w:rPr>
                <w:rFonts w:ascii="Times New Roman" w:hAnsi="Times New Roman"/>
                <w:b w:val="0"/>
                <w:sz w:val="19"/>
              </w:rPr>
              <w:t>Substrate cracking suppressed at r = 7 mm (ε ≈ 0.0089)</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Zhou et al. [11]</w:t>
            </w:r>
          </w:p>
        </w:tc>
        <w:tc>
          <w:tcPr>
            <w:tcW w:type="dxa" w:w="1560"/>
          </w:tcPr>
          <w:p>
            <w:pPr>
              <w:spacing w:before="20" w:after="20"/>
            </w:pPr>
            <w:r>
              <w:rPr>
                <w:rFonts w:ascii="Times New Roman" w:hAnsi="Times New Roman"/>
                <w:b w:val="0"/>
                <w:sz w:val="19"/>
              </w:rPr>
              <w:t>2026</w:t>
            </w:r>
          </w:p>
        </w:tc>
        <w:tc>
          <w:tcPr>
            <w:tcW w:type="dxa" w:w="1560"/>
          </w:tcPr>
          <w:p>
            <w:pPr>
              <w:spacing w:before="20" w:after="20"/>
            </w:pPr>
            <w:r>
              <w:rPr>
                <w:rFonts w:ascii="Times New Roman" w:hAnsi="Times New Roman"/>
                <w:b w:val="0"/>
                <w:sz w:val="19"/>
              </w:rPr>
              <w:t>Viscoelastic–viscoplastic unified constitutive law</w:t>
            </w:r>
          </w:p>
        </w:tc>
        <w:tc>
          <w:tcPr>
            <w:tcW w:type="dxa" w:w="1560"/>
          </w:tcPr>
          <w:p>
            <w:pPr>
              <w:spacing w:before="20" w:after="20"/>
            </w:pPr>
            <w:r>
              <w:rPr>
                <w:rFonts w:ascii="Times New Roman" w:hAnsi="Times New Roman"/>
                <w:b w:val="0"/>
                <w:sz w:val="19"/>
              </w:rPr>
              <w:t>Adhesive constitutive law</w:t>
            </w:r>
          </w:p>
        </w:tc>
        <w:tc>
          <w:tcPr>
            <w:tcW w:type="dxa" w:w="1560"/>
          </w:tcPr>
          <w:p>
            <w:pPr>
              <w:spacing w:before="20" w:after="20"/>
            </w:pPr>
            <w:r>
              <w:rPr>
                <w:rFonts w:ascii="Times New Roman" w:hAnsi="Times New Roman"/>
                <w:b w:val="0"/>
                <w:sz w:val="19"/>
              </w:rPr>
              <w:t>Adhesive peak stress −11.9% to −21.6%</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Ren et al. [12]</w:t>
            </w:r>
          </w:p>
        </w:tc>
        <w:tc>
          <w:tcPr>
            <w:tcW w:type="dxa" w:w="1560"/>
          </w:tcPr>
          <w:p>
            <w:pPr>
              <w:spacing w:before="20" w:after="20"/>
            </w:pPr>
            <w:r>
              <w:rPr>
                <w:rFonts w:ascii="Times New Roman" w:hAnsi="Times New Roman"/>
                <w:b w:val="0"/>
                <w:sz w:val="19"/>
              </w:rPr>
              <w:t>2026</w:t>
            </w:r>
          </w:p>
        </w:tc>
        <w:tc>
          <w:tcPr>
            <w:tcW w:type="dxa" w:w="1560"/>
          </w:tcPr>
          <w:p>
            <w:pPr>
              <w:spacing w:before="20" w:after="20"/>
            </w:pPr>
            <w:r>
              <w:rPr>
                <w:rFonts w:ascii="Times New Roman" w:hAnsi="Times New Roman"/>
                <w:b w:val="0"/>
                <w:sz w:val="19"/>
              </w:rPr>
              <w:t>Cohesive zone model</w:t>
            </w:r>
          </w:p>
        </w:tc>
        <w:tc>
          <w:tcPr>
            <w:tcW w:type="dxa" w:w="1560"/>
          </w:tcPr>
          <w:p>
            <w:pPr>
              <w:spacing w:before="20" w:after="20"/>
            </w:pPr>
            <w:r>
              <w:rPr>
                <w:rFonts w:ascii="Times New Roman" w:hAnsi="Times New Roman"/>
                <w:b w:val="0"/>
                <w:sz w:val="19"/>
              </w:rPr>
              <w:t>PI/Si interface</w:t>
            </w:r>
          </w:p>
        </w:tc>
        <w:tc>
          <w:tcPr>
            <w:tcW w:type="dxa" w:w="1560"/>
          </w:tcPr>
          <w:p>
            <w:pPr>
              <w:spacing w:before="20" w:after="20"/>
            </w:pPr>
            <w:r>
              <w:rPr>
                <w:rFonts w:ascii="Times New Roman" w:hAnsi="Times New Roman"/>
                <w:b w:val="0"/>
                <w:sz w:val="19"/>
              </w:rPr>
              <w:t>Parameters of a PI/Si interface identified by inversion of nanoindentation data (K0 = 3.6 × 10¹⁴ Pa/m, σmax = 113 MPa, δf = 4.2 μm); no stress or life improvement reported</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sz w:val="19"/>
              </w:rPr>
              <w:t>Present (SCRP–CDSE framework)</w:t>
            </w:r>
          </w:p>
        </w:tc>
        <w:tc>
          <w:tcPr>
            <w:tcW w:type="dxa" w:w="1560"/>
          </w:tcPr>
          <w:p>
            <w:pPr>
              <w:spacing w:before="20" w:after="20"/>
            </w:pPr>
            <w:r>
              <w:rPr>
                <w:rFonts w:ascii="Times New Roman" w:hAnsi="Times New Roman"/>
                <w:b w:val="0"/>
                <w:sz w:val="19"/>
              </w:rPr>
              <w:t>—</w:t>
            </w:r>
          </w:p>
        </w:tc>
        <w:tc>
          <w:tcPr>
            <w:tcW w:type="dxa" w:w="1560"/>
          </w:tcPr>
          <w:p>
            <w:pPr>
              <w:spacing w:before="20" w:after="20"/>
            </w:pPr>
            <w:r>
              <w:rPr>
                <w:rFonts w:ascii="Times New Roman" w:hAnsi="Times New Roman"/>
                <w:b/>
                <w:sz w:val="19"/>
              </w:rPr>
              <w:t>SCRP + CDSE</w:t>
            </w:r>
          </w:p>
        </w:tc>
        <w:tc>
          <w:tcPr>
            <w:tcW w:type="dxa" w:w="1560"/>
          </w:tcPr>
          <w:p>
            <w:pPr>
              <w:spacing w:before="20" w:after="20"/>
            </w:pPr>
            <w:r>
              <w:rPr>
                <w:rFonts w:ascii="Times New Roman" w:hAnsi="Times New Roman"/>
                <w:b/>
                <w:sz w:val="19"/>
              </w:rPr>
              <w:t>Adhesive constitutive law + interfaces</w:t>
            </w:r>
          </w:p>
        </w:tc>
        <w:tc>
          <w:tcPr>
            <w:tcW w:type="dxa" w:w="1560"/>
          </w:tcPr>
          <w:p>
            <w:pPr>
              <w:spacing w:before="20" w:after="20"/>
            </w:pPr>
            <w:r>
              <w:rPr>
                <w:rFonts w:ascii="Times New Roman" w:hAnsi="Times New Roman"/>
                <w:b/>
                <w:sz w:val="19"/>
              </w:rPr>
              <w:t>OLED stress −34.6%; adhesive stress −37.6%</w:t>
            </w:r>
          </w:p>
        </w:tc>
        <w:tc>
          <w:tcPr>
            <w:tcW w:type="dxa" w:w="1560"/>
          </w:tcPr>
          <w:p>
            <w:pPr>
              <w:spacing w:before="20" w:after="20"/>
            </w:pPr>
            <w:r>
              <w:rPr>
                <w:rFonts w:ascii="Times New Roman" w:hAnsi="Times New Roman"/>
                <w:b/>
                <w:sz w:val="19"/>
              </w:rPr>
              <w:t>Yes (3.62 × 10⁵ cycles)</w:t>
            </w:r>
          </w:p>
        </w:tc>
      </w:tr>
    </w:tbl>
    <w:p>
      <w:pPr>
        <w:spacing w:before="120" w:after="160"/>
        <w:jc w:val="left"/>
      </w:pPr>
      <w:r>
        <w:rPr>
          <w:rFonts w:ascii="Times New Roman" w:hAnsi="Times New Roman"/>
          <w:b w:val="0"/>
          <w:sz w:val="19"/>
        </w:rPr>
        <w:t>Table 4  Ablation experiment: effect of the SCRP and CDSE modules on the peak OLED-layer stress and on the predicted fatigue life.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20" w:after="20"/>
            </w:pPr>
            <w:r>
              <w:rPr>
                <w:rFonts w:ascii="Times New Roman" w:hAnsi="Times New Roman"/>
                <w:b/>
                <w:sz w:val="19"/>
              </w:rPr>
              <w:t>Configuration</w:t>
            </w:r>
          </w:p>
        </w:tc>
        <w:tc>
          <w:tcPr>
            <w:tcW w:type="dxa" w:w="1560"/>
          </w:tcPr>
          <w:p>
            <w:pPr>
              <w:spacing w:before="20" w:after="20"/>
            </w:pPr>
            <w:r>
              <w:rPr>
                <w:rFonts w:ascii="Times New Roman" w:hAnsi="Times New Roman"/>
                <w:b/>
                <w:sz w:val="19"/>
              </w:rPr>
              <w:t>σOLED (MPa)</w:t>
            </w:r>
          </w:p>
        </w:tc>
        <w:tc>
          <w:tcPr>
            <w:tcW w:type="dxa" w:w="1560"/>
          </w:tcPr>
          <w:p>
            <w:pPr>
              <w:spacing w:before="20" w:after="20"/>
            </w:pPr>
            <w:r>
              <w:rPr>
                <w:rFonts w:ascii="Times New Roman" w:hAnsi="Times New Roman"/>
                <w:b/>
                <w:sz w:val="19"/>
              </w:rPr>
              <w:t>Reduction vs. NPSO</w:t>
            </w:r>
          </w:p>
        </w:tc>
        <w:tc>
          <w:tcPr>
            <w:tcW w:type="dxa" w:w="1560"/>
          </w:tcPr>
          <w:p>
            <w:pPr>
              <w:spacing w:before="20" w:after="20"/>
            </w:pPr>
            <w:r>
              <w:rPr>
                <w:rFonts w:ascii="Times New Roman" w:hAnsi="Times New Roman"/>
                <w:b/>
                <w:sz w:val="19"/>
              </w:rPr>
              <w:t>Max. interfacial slip (μm)</w:t>
            </w:r>
          </w:p>
        </w:tc>
        <w:tc>
          <w:tcPr>
            <w:tcW w:type="dxa" w:w="1560"/>
          </w:tcPr>
          <w:p>
            <w:pPr>
              <w:spacing w:before="20" w:after="20"/>
            </w:pPr>
            <w:r>
              <w:rPr>
                <w:rFonts w:ascii="Times New Roman" w:hAnsi="Times New Roman"/>
                <w:b/>
                <w:sz w:val="19"/>
              </w:rPr>
              <w:t>Nf (× 10⁵ cycles)</w:t>
            </w:r>
          </w:p>
        </w:tc>
        <w:tc>
          <w:tcPr>
            <w:tcW w:type="dxa" w:w="1560"/>
          </w:tcPr>
          <w:p>
            <w:pPr>
              <w:spacing w:before="20" w:after="20"/>
            </w:pPr>
            <w:r>
              <w:rPr>
                <w:rFonts w:ascii="Times New Roman" w:hAnsi="Times New Roman"/>
                <w:b/>
                <w:sz w:val="19"/>
              </w:rPr>
              <w:t>Improvement vs. NPSO</w:t>
            </w:r>
          </w:p>
        </w:tc>
      </w:tr>
      <w:tr>
        <w:tc>
          <w:tcPr>
            <w:tcW w:type="dxa" w:w="1560"/>
          </w:tcPr>
          <w:p>
            <w:pPr>
              <w:spacing w:before="20" w:after="20"/>
            </w:pPr>
            <w:r>
              <w:rPr>
                <w:rFonts w:ascii="Times New Roman" w:hAnsi="Times New Roman"/>
                <w:b w:val="0"/>
                <w:sz w:val="19"/>
              </w:rPr>
              <w:t>NPSO (baseline)</w:t>
            </w:r>
          </w:p>
        </w:tc>
        <w:tc>
          <w:tcPr>
            <w:tcW w:type="dxa" w:w="1560"/>
          </w:tcPr>
          <w:p>
            <w:pPr>
              <w:spacing w:before="20" w:after="20"/>
            </w:pPr>
            <w:r>
              <w:rPr>
                <w:rFonts w:ascii="Times New Roman" w:hAnsi="Times New Roman"/>
                <w:b w:val="0"/>
                <w:sz w:val="19"/>
              </w:rPr>
              <w:t>47.19</w:t>
            </w:r>
          </w:p>
        </w:tc>
        <w:tc>
          <w:tcPr>
            <w:tcW w:type="dxa" w:w="1560"/>
          </w:tcPr>
          <w:p>
            <w:pPr>
              <w:spacing w:before="20" w:after="20"/>
            </w:pPr>
            <w:r>
              <w:rPr>
                <w:rFonts w:ascii="Times New Roman" w:hAnsi="Times New Roman"/>
                <w:b w:val="0"/>
                <w:sz w:val="19"/>
              </w:rPr>
              <w:t>—</w:t>
            </w:r>
          </w:p>
        </w:tc>
        <w:tc>
          <w:tcPr>
            <w:tcW w:type="dxa" w:w="1560"/>
          </w:tcPr>
          <w:p>
            <w:pPr>
              <w:spacing w:before="20" w:after="20"/>
            </w:pPr>
            <w:r>
              <w:rPr>
                <w:rFonts w:ascii="Times New Roman" w:hAnsi="Times New Roman"/>
                <w:b w:val="0"/>
                <w:sz w:val="19"/>
              </w:rPr>
              <w:t>3.65</w:t>
            </w:r>
          </w:p>
        </w:tc>
        <w:tc>
          <w:tcPr>
            <w:tcW w:type="dxa" w:w="1560"/>
          </w:tcPr>
          <w:p>
            <w:pPr>
              <w:spacing w:before="20" w:after="20"/>
            </w:pPr>
            <w:r>
              <w:rPr>
                <w:rFonts w:ascii="Times New Roman" w:hAnsi="Times New Roman"/>
                <w:b w:val="0"/>
                <w:sz w:val="19"/>
              </w:rPr>
              <w:t>1.25</w:t>
            </w:r>
          </w:p>
        </w:tc>
        <w:tc>
          <w:tcPr>
            <w:tcW w:type="dxa" w:w="1560"/>
          </w:tcPr>
          <w:p>
            <w:pPr>
              <w:spacing w:before="20" w:after="20"/>
            </w:pPr>
            <w:r>
              <w:rPr>
                <w:rFonts w:ascii="Times New Roman" w:hAnsi="Times New Roman"/>
                <w:b w:val="0"/>
                <w:sz w:val="19"/>
              </w:rPr>
              <w:t>—</w:t>
            </w:r>
          </w:p>
        </w:tc>
      </w:tr>
      <w:tr>
        <w:tc>
          <w:tcPr>
            <w:tcW w:type="dxa" w:w="1560"/>
          </w:tcPr>
          <w:p>
            <w:pPr>
              <w:spacing w:before="20" w:after="20"/>
            </w:pPr>
            <w:r>
              <w:rPr>
                <w:rFonts w:ascii="Times New Roman" w:hAnsi="Times New Roman"/>
                <w:b w:val="0"/>
                <w:sz w:val="19"/>
              </w:rPr>
              <w:t>NPSO + SCRP</w:t>
            </w:r>
          </w:p>
        </w:tc>
        <w:tc>
          <w:tcPr>
            <w:tcW w:type="dxa" w:w="1560"/>
          </w:tcPr>
          <w:p>
            <w:pPr>
              <w:spacing w:before="20" w:after="20"/>
            </w:pPr>
            <w:r>
              <w:rPr>
                <w:rFonts w:ascii="Times New Roman" w:hAnsi="Times New Roman"/>
                <w:b w:val="0"/>
                <w:sz w:val="19"/>
              </w:rPr>
              <w:t>30.86</w:t>
            </w:r>
          </w:p>
        </w:tc>
        <w:tc>
          <w:tcPr>
            <w:tcW w:type="dxa" w:w="1560"/>
          </w:tcPr>
          <w:p>
            <w:pPr>
              <w:spacing w:before="20" w:after="20"/>
            </w:pPr>
            <w:r>
              <w:rPr>
                <w:rFonts w:ascii="Times New Roman" w:hAnsi="Times New Roman"/>
                <w:b w:val="0"/>
                <w:sz w:val="19"/>
              </w:rPr>
              <w:t>−34.6%</w:t>
            </w:r>
          </w:p>
        </w:tc>
        <w:tc>
          <w:tcPr>
            <w:tcW w:type="dxa" w:w="1560"/>
          </w:tcPr>
          <w:p>
            <w:pPr>
              <w:spacing w:before="20" w:after="20"/>
            </w:pPr>
            <w:r>
              <w:rPr>
                <w:rFonts w:ascii="Times New Roman" w:hAnsi="Times New Roman"/>
                <w:b w:val="0"/>
                <w:sz w:val="19"/>
              </w:rPr>
              <w:t>3.49</w:t>
            </w:r>
          </w:p>
        </w:tc>
        <w:tc>
          <w:tcPr>
            <w:tcW w:type="dxa" w:w="1560"/>
          </w:tcPr>
          <w:p>
            <w:pPr>
              <w:spacing w:before="20" w:after="20"/>
            </w:pPr>
            <w:r>
              <w:rPr>
                <w:rFonts w:ascii="Times New Roman" w:hAnsi="Times New Roman"/>
                <w:b w:val="0"/>
                <w:sz w:val="19"/>
              </w:rPr>
              <w:t>1.68</w:t>
            </w:r>
          </w:p>
        </w:tc>
        <w:tc>
          <w:tcPr>
            <w:tcW w:type="dxa" w:w="1560"/>
          </w:tcPr>
          <w:p>
            <w:pPr>
              <w:spacing w:before="20" w:after="20"/>
            </w:pPr>
            <w:r>
              <w:rPr>
                <w:rFonts w:ascii="Times New Roman" w:hAnsi="Times New Roman"/>
                <w:b w:val="0"/>
                <w:sz w:val="19"/>
              </w:rPr>
              <w:t>+34.4%</w:t>
            </w:r>
          </w:p>
        </w:tc>
      </w:tr>
      <w:tr>
        <w:tc>
          <w:tcPr>
            <w:tcW w:type="dxa" w:w="1560"/>
          </w:tcPr>
          <w:p>
            <w:pPr>
              <w:spacing w:before="20" w:after="20"/>
            </w:pPr>
            <w:r>
              <w:rPr>
                <w:rFonts w:ascii="Times New Roman" w:hAnsi="Times New Roman"/>
                <w:b w:val="0"/>
                <w:sz w:val="19"/>
              </w:rPr>
              <w:t>NPSO + CDSE</w:t>
            </w:r>
          </w:p>
        </w:tc>
        <w:tc>
          <w:tcPr>
            <w:tcW w:type="dxa" w:w="1560"/>
          </w:tcPr>
          <w:p>
            <w:pPr>
              <w:spacing w:before="20" w:after="20"/>
            </w:pPr>
            <w:r>
              <w:rPr>
                <w:rFonts w:ascii="Times New Roman" w:hAnsi="Times New Roman"/>
                <w:b w:val="0"/>
                <w:sz w:val="19"/>
              </w:rPr>
              <w:t>47.19</w:t>
            </w:r>
          </w:p>
        </w:tc>
        <w:tc>
          <w:tcPr>
            <w:tcW w:type="dxa" w:w="1560"/>
          </w:tcPr>
          <w:p>
            <w:pPr>
              <w:spacing w:before="20" w:after="20"/>
            </w:pPr>
            <w:r>
              <w:rPr>
                <w:rFonts w:ascii="Times New Roman" w:hAnsi="Times New Roman"/>
                <w:b w:val="0"/>
                <w:sz w:val="19"/>
              </w:rPr>
              <w:t>0.0%</w:t>
            </w:r>
          </w:p>
        </w:tc>
        <w:tc>
          <w:tcPr>
            <w:tcW w:type="dxa" w:w="1560"/>
          </w:tcPr>
          <w:p>
            <w:pPr>
              <w:spacing w:before="20" w:after="20"/>
            </w:pPr>
            <w:r>
              <w:rPr>
                <w:rFonts w:ascii="Times New Roman" w:hAnsi="Times New Roman"/>
                <w:b w:val="0"/>
                <w:sz w:val="19"/>
              </w:rPr>
              <w:t>3.65</w:t>
            </w:r>
          </w:p>
        </w:tc>
        <w:tc>
          <w:tcPr>
            <w:tcW w:type="dxa" w:w="1560"/>
          </w:tcPr>
          <w:p>
            <w:pPr>
              <w:spacing w:before="20" w:after="20"/>
            </w:pPr>
            <w:r>
              <w:rPr>
                <w:rFonts w:ascii="Times New Roman" w:hAnsi="Times New Roman"/>
                <w:b w:val="0"/>
                <w:sz w:val="19"/>
              </w:rPr>
              <w:t>2.61</w:t>
            </w:r>
          </w:p>
        </w:tc>
        <w:tc>
          <w:tcPr>
            <w:tcW w:type="dxa" w:w="1560"/>
          </w:tcPr>
          <w:p>
            <w:pPr>
              <w:spacing w:before="20" w:after="20"/>
            </w:pPr>
            <w:r>
              <w:rPr>
                <w:rFonts w:ascii="Times New Roman" w:hAnsi="Times New Roman"/>
                <w:b w:val="0"/>
                <w:sz w:val="19"/>
              </w:rPr>
              <w:t>+108.8%</w:t>
            </w:r>
          </w:p>
        </w:tc>
      </w:tr>
      <w:tr>
        <w:tc>
          <w:tcPr>
            <w:tcW w:type="dxa" w:w="1560"/>
          </w:tcPr>
          <w:p>
            <w:pPr>
              <w:spacing w:before="20" w:after="20"/>
            </w:pPr>
            <w:r>
              <w:rPr>
                <w:rFonts w:ascii="Times New Roman" w:hAnsi="Times New Roman"/>
                <w:b w:val="0"/>
                <w:sz w:val="19"/>
              </w:rPr>
              <w:t>NPSO + SCRP + CDSE</w:t>
            </w:r>
          </w:p>
        </w:tc>
        <w:tc>
          <w:tcPr>
            <w:tcW w:type="dxa" w:w="1560"/>
          </w:tcPr>
          <w:p>
            <w:pPr>
              <w:spacing w:before="20" w:after="20"/>
            </w:pPr>
            <w:r>
              <w:rPr>
                <w:rFonts w:ascii="Times New Roman" w:hAnsi="Times New Roman"/>
                <w:b w:val="0"/>
                <w:sz w:val="19"/>
              </w:rPr>
              <w:t>30.86</w:t>
            </w:r>
          </w:p>
        </w:tc>
        <w:tc>
          <w:tcPr>
            <w:tcW w:type="dxa" w:w="1560"/>
          </w:tcPr>
          <w:p>
            <w:pPr>
              <w:spacing w:before="20" w:after="20"/>
            </w:pPr>
            <w:r>
              <w:rPr>
                <w:rFonts w:ascii="Times New Roman" w:hAnsi="Times New Roman"/>
                <w:b w:val="0"/>
                <w:sz w:val="19"/>
              </w:rPr>
              <w:t>−34.6%</w:t>
            </w:r>
          </w:p>
        </w:tc>
        <w:tc>
          <w:tcPr>
            <w:tcW w:type="dxa" w:w="1560"/>
          </w:tcPr>
          <w:p>
            <w:pPr>
              <w:spacing w:before="20" w:after="20"/>
            </w:pPr>
            <w:r>
              <w:rPr>
                <w:rFonts w:ascii="Times New Roman" w:hAnsi="Times New Roman"/>
                <w:b w:val="0"/>
                <w:sz w:val="19"/>
              </w:rPr>
              <w:t>3.49</w:t>
            </w:r>
          </w:p>
        </w:tc>
        <w:tc>
          <w:tcPr>
            <w:tcW w:type="dxa" w:w="1560"/>
          </w:tcPr>
          <w:p>
            <w:pPr>
              <w:spacing w:before="20" w:after="20"/>
            </w:pPr>
            <w:r>
              <w:rPr>
                <w:rFonts w:ascii="Times New Roman" w:hAnsi="Times New Roman"/>
                <w:b w:val="0"/>
                <w:sz w:val="19"/>
              </w:rPr>
              <w:t>3.62</w:t>
            </w:r>
          </w:p>
        </w:tc>
        <w:tc>
          <w:tcPr>
            <w:tcW w:type="dxa" w:w="1560"/>
          </w:tcPr>
          <w:p>
            <w:pPr>
              <w:spacing w:before="20" w:after="20"/>
            </w:pPr>
            <w:r>
              <w:rPr>
                <w:rFonts w:ascii="Times New Roman" w:hAnsi="Times New Roman"/>
                <w:b w:val="0"/>
                <w:sz w:val="19"/>
              </w:rPr>
              <w:t>+189.6%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