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Times New Roman" w:hAnsi="Times New Roman"/>
          <w:b/>
          <w:sz w:val="32"/>
        </w:rPr>
        <w:t>A Relaxation–Plasticity Coupled Constitutive and Cyclic Interfacial Damage Framework for the Foldable Reliability Assessment of OLED Panels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sz w:val="22"/>
        </w:rPr>
        <w:t>First Author¹, Second Author¹, Hui Xu¹*  (placeholders)</w:t>
      </w:r>
    </w:p>
    <w:p>
      <w:pPr>
        <w:spacing w:before="0" w:after="280"/>
        <w:jc w:val="center"/>
      </w:pPr>
      <w:r>
        <w:rPr>
          <w:rFonts w:ascii="Times New Roman" w:hAnsi="Times New Roman"/>
          <w:b w:val="0"/>
          <w:i/>
          <w:sz w:val="18"/>
        </w:rPr>
        <w:t>¹ School of Mechanical Engineering, [University]  ·  *Corresponding author  ·  Draft — Citation and Reference Standard (SCI Q2)</w:t>
      </w:r>
    </w:p>
    <w:p>
      <w:pPr>
        <w:spacing w:before="0" w:after="120"/>
      </w:pPr>
      <w:r>
        <w:rPr>
          <w:rFonts w:ascii="Times New Roman" w:hAnsi="Times New Roman"/>
          <w:b/>
          <w:sz w:val="24"/>
        </w:rPr>
        <w:t>引用与参考文献格式标准（SCI 二区 · 可折叠 OLED 机械可靠性方向）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本文件记录：① 同领域 10 篇论文的引用／参考文献格式实测结果；② 由此提炼的写作标准；③ 本稿《SCRP–CDSE 框架》实际采用的格式与 46 条文献的落位。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---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一、调研样本（10 篇，均为 2024–2026 年同领域论文）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#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论文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出版社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引用标记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文末条目样式（原样摘录）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Wu et al., *Moore and More* 2025, 2, 2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Springer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`[n]`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`1. Nishimura M, Takebayashi K, …, Murayama A (2019) A 5.5-inch full HD foldable AMOLED display based on neutral-plane splitting concept. J Soc Inf Disp 27:480–486. https://doi.org/10.1002/jsid.796`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Ranka et al., *npj Flex. Electron.* 2025, 9, 92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Nature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`[n]`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`1. Corzo D, Tostado-Blázquez G, Baran D. Flexible electronics: status, challenges and opportunities. Front. Electron. 1, 594003 (2020).`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*Sci. Rep.* 2025（同领域柔性器件）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Nature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`[n]`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同 Nature 家族：作者．题名．期刊缩写 卷, 页 (年).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*Micromachines* 2026, 17, 217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MDPI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`[n]`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`1. Wu L. Research Progress in … Semicond. Optoelectron. 2024, 45, 861–869.`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*Micromachines* 2025, 16, 944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MDPI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`[n]`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同上（作者名缩写 + 题名 + 期刊缩写 + 年, 卷, 页）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*Adv. Electron. Mater.* 2025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Wiley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`[n]`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`1. J. H. Koo, D. C. Kim, …, D.-H. Kim, "Flexible and Stretchable Smart Display …", Adv. Funct. Mater. 28 (2018): 1801834.`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*ACS Appl. Electron. Mater.* 2025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ACS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`[n]`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ACS 标准：`(1) Author A. B.; Author C. D. Title. J. Abbrev. Year, Vol, Pages. DOI.`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*Compos. Struct.* 2025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Elsevier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`[n]`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`[1] A. B. Author, C. D. Author, Title of the paper, J. Abbrev. Vol (Year) Pages.`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Choi et al., *Adv. Sci.* 2026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Wiley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`[n]`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同 6</w:t>
            </w:r>
          </w:p>
        </w:tc>
      </w:tr>
      <w:tr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*Mater. Horiz.* 2025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RSC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`[n]`</w:t>
            </w:r>
          </w:p>
        </w:tc>
        <w:tc>
          <w:tcPr>
            <w:tcW w:type="dxa" w:w="1872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`[1] A. B. Author, C. D. Author, Journal Abbrev., Year, Vol, Pages.`</w:t>
            </w:r>
          </w:p>
        </w:tc>
      </w:tr>
    </w:tbl>
    <w:p>
      <w:pPr>
        <w:jc w:val="both"/>
      </w:pPr>
      <w:r>
        <w:rPr>
          <w:rFonts w:ascii="Times New Roman" w:hAnsi="Times New Roman"/>
          <w:b w:val="0"/>
          <w:sz w:val="21"/>
        </w:rPr>
        <w:t xml:space="preserve">&gt; </w:t>
      </w:r>
      <w:r>
        <w:rPr>
          <w:rFonts w:ascii="Times New Roman" w:hAnsi="Times New Roman"/>
          <w:b/>
          <w:sz w:val="21"/>
        </w:rPr>
        <w:t>实测结论：本领域横跨 Nature / Springer / Wiley / MDPI / ACS / RSC / Elsevier 七家出版社，正文引用标记 100% 为「方括号数字序号 `[n]`」，文末为统一编号文献表；条目字段顺序各家只差字号与标点。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---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二、由此提炼的标准</w:t>
      </w:r>
    </w:p>
    <w:p>
      <w:pPr>
        <w:spacing w:before="160" w:after="80"/>
      </w:pPr>
      <w:r>
        <w:rPr>
          <w:rFonts w:ascii="Times New Roman" w:hAnsi="Times New Roman"/>
          <w:b/>
          <w:sz w:val="21"/>
        </w:rPr>
        <w:t>2.1 正文引用（写进文章里怎么标）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1. </w:t>
      </w:r>
      <w:r>
        <w:rPr>
          <w:rFonts w:ascii="Times New Roman" w:hAnsi="Times New Roman"/>
          <w:b/>
          <w:sz w:val="21"/>
        </w:rPr>
        <w:t>标记形式</w:t>
      </w:r>
      <w:r>
        <w:rPr>
          <w:rFonts w:ascii="Times New Roman" w:hAnsi="Times New Roman"/>
          <w:b w:val="0"/>
          <w:sz w:val="21"/>
        </w:rPr>
        <w:t>：方括号数字，如 `[1]`、`[3,5]`、`[9,10,11]`；连续序号可写 `[1–3]`。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2. </w:t>
      </w:r>
      <w:r>
        <w:rPr>
          <w:rFonts w:ascii="Times New Roman" w:hAnsi="Times New Roman"/>
          <w:b/>
          <w:sz w:val="21"/>
        </w:rPr>
        <w:t>编号依据</w:t>
      </w:r>
      <w:r>
        <w:rPr>
          <w:rFonts w:ascii="Times New Roman" w:hAnsi="Times New Roman"/>
          <w:b w:val="0"/>
          <w:sz w:val="21"/>
        </w:rPr>
        <w:t>：</w:t>
      </w:r>
      <w:r>
        <w:rPr>
          <w:rFonts w:ascii="Times New Roman" w:hAnsi="Times New Roman"/>
          <w:b/>
          <w:sz w:val="21"/>
        </w:rPr>
        <w:t>按正文首次出现顺序</w:t>
      </w:r>
      <w:r>
        <w:rPr>
          <w:rFonts w:ascii="Times New Roman" w:hAnsi="Times New Roman"/>
          <w:b w:val="0"/>
          <w:sz w:val="21"/>
        </w:rPr>
        <w:t>连续编号（顺序编码制，Vancouver/numbered）。这是本领域七家出版社共同的默认做法。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3. </w:t>
      </w:r>
      <w:r>
        <w:rPr>
          <w:rFonts w:ascii="Times New Roman" w:hAnsi="Times New Roman"/>
          <w:b/>
          <w:sz w:val="21"/>
        </w:rPr>
        <w:t>位置</w:t>
      </w:r>
      <w:r>
        <w:rPr>
          <w:rFonts w:ascii="Times New Roman" w:hAnsi="Times New Roman"/>
          <w:b w:val="0"/>
          <w:sz w:val="21"/>
        </w:rPr>
        <w:t>：标在</w:t>
      </w:r>
      <w:r>
        <w:rPr>
          <w:rFonts w:ascii="Times New Roman" w:hAnsi="Times New Roman"/>
          <w:b/>
          <w:sz w:val="21"/>
        </w:rPr>
        <w:t>所引论点／数据／方法所在的那一句话的句末标点之前</w:t>
      </w:r>
      <w:r>
        <w:rPr>
          <w:rFonts w:ascii="Times New Roman" w:hAnsi="Times New Roman"/>
          <w:b w:val="0"/>
          <w:sz w:val="21"/>
        </w:rPr>
        <w:t>，如 `…a radius of a few millimetres [1].`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4. </w:t>
      </w:r>
      <w:r>
        <w:rPr>
          <w:rFonts w:ascii="Times New Roman" w:hAnsi="Times New Roman"/>
          <w:b/>
          <w:sz w:val="21"/>
        </w:rPr>
        <w:t>人名引用</w:t>
      </w:r>
      <w:r>
        <w:rPr>
          <w:rFonts w:ascii="Times New Roman" w:hAnsi="Times New Roman"/>
          <w:b w:val="0"/>
          <w:sz w:val="21"/>
        </w:rPr>
        <w:t>：正文提作者名时，序号紧随其后——`Sun et al. [6] formulated …`。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5. </w:t>
      </w:r>
      <w:r>
        <w:rPr>
          <w:rFonts w:ascii="Times New Roman" w:hAnsi="Times New Roman"/>
          <w:b/>
          <w:sz w:val="21"/>
        </w:rPr>
        <w:t>一一匹配</w:t>
      </w:r>
      <w:r>
        <w:rPr>
          <w:rFonts w:ascii="Times New Roman" w:hAnsi="Times New Roman"/>
          <w:b w:val="0"/>
          <w:sz w:val="21"/>
        </w:rPr>
        <w:t>：正文出现的每个 `[n]` 在文末必须有对应条目；文末每条文献必须在正文至少被引用一次（水导 018 反复强调的硬性红线）。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6. </w:t>
      </w:r>
      <w:r>
        <w:rPr>
          <w:rFonts w:ascii="Times New Roman" w:hAnsi="Times New Roman"/>
          <w:b/>
          <w:sz w:val="21"/>
        </w:rPr>
        <w:t>摘要不引用</w:t>
      </w:r>
      <w:r>
        <w:rPr>
          <w:rFonts w:ascii="Times New Roman" w:hAnsi="Times New Roman"/>
          <w:b w:val="0"/>
          <w:sz w:val="21"/>
        </w:rPr>
        <w:t>：Abstract 中不出现任何引用（水导 018）。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7. </w:t>
      </w:r>
      <w:r>
        <w:rPr>
          <w:rFonts w:ascii="Times New Roman" w:hAnsi="Times New Roman"/>
          <w:b/>
          <w:sz w:val="21"/>
        </w:rPr>
        <w:t>表格</w:t>
      </w:r>
      <w:r>
        <w:rPr>
          <w:rFonts w:ascii="Times New Roman" w:hAnsi="Times New Roman"/>
          <w:b w:val="0"/>
          <w:sz w:val="21"/>
        </w:rPr>
        <w:t>：表格首列「Study」列在作者名后加 `[n]`，使表内对比对象与文献表一一对应。</w:t>
      </w:r>
    </w:p>
    <w:p>
      <w:pPr>
        <w:spacing w:before="160" w:after="80"/>
      </w:pPr>
      <w:r>
        <w:rPr>
          <w:rFonts w:ascii="Times New Roman" w:hAnsi="Times New Roman"/>
          <w:b/>
          <w:sz w:val="21"/>
        </w:rPr>
        <w:t>2.2 文末条目（每一条长什么样）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七家出版社字段相同、仅标点不同。本稿采用的</w:t>
      </w:r>
      <w:r>
        <w:rPr>
          <w:rFonts w:ascii="Times New Roman" w:hAnsi="Times New Roman"/>
          <w:b/>
          <w:sz w:val="21"/>
        </w:rPr>
        <w:t>起草格式</w:t>
      </w:r>
      <w:r>
        <w:rPr>
          <w:rFonts w:ascii="Times New Roman" w:hAnsi="Times New Roman"/>
          <w:b w:val="0"/>
          <w:sz w:val="21"/>
        </w:rPr>
        <w:t>（信息最全、可一键转排）为：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- </w:t>
      </w:r>
      <w:r>
        <w:rPr>
          <w:rFonts w:ascii="Times New Roman" w:hAnsi="Times New Roman"/>
          <w:b/>
          <w:sz w:val="21"/>
        </w:rPr>
        <w:t>作者</w:t>
      </w:r>
      <w:r>
        <w:rPr>
          <w:rFonts w:ascii="Times New Roman" w:hAnsi="Times New Roman"/>
          <w:b w:val="0"/>
          <w:sz w:val="21"/>
        </w:rPr>
        <w:t>：`姓, 名首字母.`，用英文逗号分隔；</w:t>
      </w:r>
      <w:r>
        <w:rPr>
          <w:rFonts w:ascii="Times New Roman" w:hAnsi="Times New Roman"/>
          <w:b/>
          <w:sz w:val="21"/>
        </w:rPr>
        <w:t>超过 6 人</w:t>
      </w:r>
      <w:r>
        <w:rPr>
          <w:rFonts w:ascii="Times New Roman" w:hAnsi="Times New Roman"/>
          <w:b w:val="0"/>
          <w:sz w:val="21"/>
        </w:rPr>
        <w:t>列前 3 人后加 `et al.`；姓名之间不写 `and`。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- </w:t>
      </w:r>
      <w:r>
        <w:rPr>
          <w:rFonts w:ascii="Times New Roman" w:hAnsi="Times New Roman"/>
          <w:b/>
          <w:sz w:val="21"/>
        </w:rPr>
        <w:t>题名</w:t>
      </w:r>
      <w:r>
        <w:rPr>
          <w:rFonts w:ascii="Times New Roman" w:hAnsi="Times New Roman"/>
          <w:b w:val="0"/>
          <w:sz w:val="21"/>
        </w:rPr>
        <w:t>：句首字母大写，其余按原标题大小写；</w:t>
      </w:r>
      <w:r>
        <w:rPr>
          <w:rFonts w:ascii="Times New Roman" w:hAnsi="Times New Roman"/>
          <w:b/>
          <w:sz w:val="21"/>
        </w:rPr>
        <w:t>不加引号</w:t>
      </w:r>
      <w:r>
        <w:rPr>
          <w:rFonts w:ascii="Times New Roman" w:hAnsi="Times New Roman"/>
          <w:b w:val="0"/>
          <w:sz w:val="21"/>
        </w:rPr>
        <w:t>（Wiley/ACS 会加引号，转排时自动补）。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- </w:t>
      </w:r>
      <w:r>
        <w:rPr>
          <w:rFonts w:ascii="Times New Roman" w:hAnsi="Times New Roman"/>
          <w:b/>
          <w:sz w:val="21"/>
        </w:rPr>
        <w:t>期刊</w:t>
      </w:r>
      <w:r>
        <w:rPr>
          <w:rFonts w:ascii="Times New Roman" w:hAnsi="Times New Roman"/>
          <w:b w:val="0"/>
          <w:sz w:val="21"/>
        </w:rPr>
        <w:t>：用 ISO 缩写，如 `npj Flex. Electron.`、`J. Soc. Inf. Disp.`、`Adv. Mater.`。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- </w:t>
      </w:r>
      <w:r>
        <w:rPr>
          <w:rFonts w:ascii="Times New Roman" w:hAnsi="Times New Roman"/>
          <w:b/>
          <w:sz w:val="21"/>
        </w:rPr>
        <w:t>年／卷／页</w:t>
      </w:r>
      <w:r>
        <w:rPr>
          <w:rFonts w:ascii="Times New Roman" w:hAnsi="Times New Roman"/>
          <w:b w:val="0"/>
          <w:sz w:val="21"/>
        </w:rPr>
        <w:t>：`年, 卷, 起始页–结束页`；尚未编卷的在线先发文章写 `advance online publication`；SID Digest 等会议论文写文章号（如 `031009`）。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- </w:t>
      </w:r>
      <w:r>
        <w:rPr>
          <w:rFonts w:ascii="Times New Roman" w:hAnsi="Times New Roman"/>
          <w:b/>
          <w:sz w:val="21"/>
        </w:rPr>
        <w:t>DOI</w:t>
      </w:r>
      <w:r>
        <w:rPr>
          <w:rFonts w:ascii="Times New Roman" w:hAnsi="Times New Roman"/>
          <w:b w:val="0"/>
          <w:sz w:val="21"/>
        </w:rPr>
        <w:t>：一律附 `https://doi.org/…`。</w:t>
      </w:r>
    </w:p>
    <w:p>
      <w:pPr>
        <w:spacing w:before="160" w:after="80"/>
      </w:pPr>
      <w:r>
        <w:rPr>
          <w:rFonts w:ascii="Times New Roman" w:hAnsi="Times New Roman"/>
          <w:b/>
          <w:sz w:val="21"/>
        </w:rPr>
        <w:t>2.3 与目标期刊的衔接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目标期刊尚未定（待 LetPub 查二区后确定）。</w:t>
      </w:r>
      <w:r>
        <w:rPr>
          <w:rFonts w:ascii="Times New Roman" w:hAnsi="Times New Roman"/>
          <w:b/>
          <w:sz w:val="21"/>
        </w:rPr>
        <w:t>序号制 + 统一文献表</w:t>
      </w:r>
      <w:r>
        <w:rPr>
          <w:rFonts w:ascii="Times New Roman" w:hAnsi="Times New Roman"/>
          <w:b w:val="0"/>
          <w:sz w:val="21"/>
        </w:rPr>
        <w:t>为共同底板，确定期刊后只需把「作者缩写方式／期刊是否斜体／年份位置」交给 Zotero / EndNote 一键换肤，正文无需重编。本稿即按此策略起草。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---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三、本稿 46 条文献的统计与合规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项目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结果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参照值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总条数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46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40–60 ✓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2024–2026 年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44 条 = 95.7%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≥50% ✓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2026 年文献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16 条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须含 2026 年 ✓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剔除爱思唯尔 / IOP / Taylor &amp; Francis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全部已剔除 ✓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—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Elsevier/IOP/T&amp;F 来源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0 条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0 ✓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目标期刊论文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暂缺（期刊未定）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2–3 条（定刊后补）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sz w:val="21"/>
        </w:rPr>
        <w:t>年份分布</w:t>
      </w:r>
      <w:r>
        <w:rPr>
          <w:rFonts w:ascii="Times New Roman" w:hAnsi="Times New Roman"/>
          <w:b w:val="0"/>
          <w:sz w:val="21"/>
        </w:rPr>
        <w:t>：2026 年 16 · 2025 年 21 · 2024 年 8 · 1999 年 1。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&gt; ⚠️ </w:t>
      </w:r>
      <w:r>
        <w:rPr>
          <w:rFonts w:ascii="Times New Roman" w:hAnsi="Times New Roman"/>
          <w:b/>
          <w:sz w:val="21"/>
        </w:rPr>
        <w:t>仅剩 1 条 2024 年以前文献</w:t>
      </w:r>
      <w:r>
        <w:rPr>
          <w:rFonts w:ascii="Times New Roman" w:hAnsi="Times New Roman"/>
          <w:b w:val="0"/>
          <w:sz w:val="21"/>
        </w:rPr>
        <w:t>（第 45 条 Qian–Liu 1999）</w:t>
      </w:r>
      <w:r>
        <w:rPr>
          <w:rFonts w:ascii="Times New Roman" w:hAnsi="Times New Roman"/>
          <w:b/>
          <w:sz w:val="21"/>
        </w:rPr>
        <w:t>不是综述性引用，而是本稿被直接继承的方法的原始出处</w:t>
      </w:r>
      <w:r>
        <w:rPr>
          <w:rFonts w:ascii="Times New Roman" w:hAnsi="Times New Roman"/>
          <w:b w:val="0"/>
          <w:sz w:val="21"/>
        </w:rPr>
        <w:t>：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&gt; - </w:t>
      </w:r>
      <w:r>
        <w:rPr>
          <w:rFonts w:ascii="Times New Roman" w:hAnsi="Times New Roman"/>
          <w:b/>
          <w:sz w:val="21"/>
        </w:rPr>
        <w:t>文献 45</w:t>
      </w:r>
      <w:r>
        <w:rPr>
          <w:rFonts w:ascii="Times New Roman" w:hAnsi="Times New Roman"/>
          <w:b w:val="0"/>
          <w:sz w:val="21"/>
        </w:rPr>
        <w:t xml:space="preserve"> = SCRP 模块所采用的「Qian–Liu 黏塑性框架」的原始文献（经 Zhou 2026 参考文献第 40 条核实，DOI `10.1115/1.2792679`）。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&gt;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&gt; 另一条原有的 2024 年以前文献（第 6 条 Lee &amp; Liou 2018，NPSO 中性层应力公式来源）</w:t>
      </w:r>
      <w:r>
        <w:rPr>
          <w:rFonts w:ascii="Times New Roman" w:hAnsi="Times New Roman"/>
          <w:b/>
          <w:sz w:val="21"/>
        </w:rPr>
        <w:t>已替换为 2025 年文献</w:t>
      </w:r>
      <w:r>
        <w:rPr>
          <w:rFonts w:ascii="Times New Roman" w:hAnsi="Times New Roman"/>
          <w:b w:val="0"/>
          <w:sz w:val="21"/>
        </w:rPr>
        <w:t>——Sun L., Fukuda K., Guo R., et al. *Adv. Funct. Mater.*, 2025, 35, 2422706，仍为多层叠层弯曲应力 / 中性层公式的直接来源。文献 45 删去会造成「黏塑性框架无出处」；如需彻底执行"只要 2024 年以后"，请指示，我再替换或删去。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---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四、46 条文献在五章中的落位（按首次出现顺序）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编号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首现位置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/>
                <w:sz w:val="19"/>
              </w:rPr>
              <w:t>用途（水导 018 八类位置对应）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1–3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引言第 1 段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① 引言开头·领域介绍 + 失效现象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4–5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引言第 2 段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① 引言开头·中性层原理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6–8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引言第 3 段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② 引言中间·相关工作（Sun / Feng / Zheng / Huang）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9–11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引言第 4 段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⑤ 与 b′ 直接相关（胶层出处）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12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引言第 5 段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⑤ 与 c′ 直接相关（界面出处）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13–26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§2.1–§2.2 相关工作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② 相关工作 + ⑦ 对比对象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27–33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§2.3 相关工作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② 相关工作（胶层）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34–44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§2.4 相关工作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② 相关工作（界面疲劳）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45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§3.2 方法章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⑥ 零散小模块（b′ 所沿用的黏塑性框架）</w:t>
            </w:r>
          </w:p>
        </w:tc>
      </w:tr>
      <w:tr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46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§4.2 实验章</w:t>
            </w:r>
          </w:p>
        </w:tc>
        <w:tc>
          <w:tcPr>
            <w:tcW w:type="dxa" w:w="3120"/>
          </w:tcPr>
          <w:p>
            <w:pPr>
              <w:spacing w:before="20" w:after="20"/>
            </w:pPr>
            <w:r>
              <w:rPr>
                <w:rFonts w:ascii="Times New Roman" w:hAnsi="Times New Roman"/>
                <w:b w:val="0"/>
                <w:sz w:val="19"/>
              </w:rPr>
              <w:t>⑦ 实验方法（纯弯曲试验机）</w:t>
            </w:r>
          </w:p>
        </w:tc>
      </w:tr>
    </w:tbl>
    <w:p>
      <w:pPr>
        <w:jc w:val="both"/>
      </w:pPr>
      <w:r>
        <w:rPr>
          <w:rFonts w:ascii="Times New Roman" w:hAnsi="Times New Roman"/>
          <w:b/>
          <w:sz w:val="21"/>
        </w:rPr>
        <w:t>Abstract 与 Conclusion 不含引用</w:t>
      </w:r>
      <w:r>
        <w:rPr>
          <w:rFonts w:ascii="Times New Roman" w:hAnsi="Times New Roman"/>
          <w:b w:val="0"/>
          <w:sz w:val="21"/>
        </w:rPr>
        <w:t>（符合水导 018）✓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---</w:t>
      </w:r>
    </w:p>
    <w:p>
      <w:pPr>
        <w:spacing w:before="200" w:after="80"/>
      </w:pPr>
      <w:r>
        <w:rPr>
          <w:rFonts w:ascii="Times New Roman" w:hAnsi="Times New Roman"/>
          <w:b/>
          <w:sz w:val="22"/>
        </w:rPr>
        <w:t>五、自检结论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- 正文引用编号 </w:t>
      </w:r>
      <w:r>
        <w:rPr>
          <w:rFonts w:ascii="Times New Roman" w:hAnsi="Times New Roman"/>
          <w:b/>
          <w:sz w:val="21"/>
        </w:rPr>
        <w:t>1 → 46 连续无缺号、无跳号</w:t>
      </w:r>
      <w:r>
        <w:rPr>
          <w:rFonts w:ascii="Times New Roman" w:hAnsi="Times New Roman"/>
          <w:b w:val="0"/>
          <w:sz w:val="21"/>
        </w:rPr>
        <w:t>；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- 46 条文献</w:t>
      </w:r>
      <w:r>
        <w:rPr>
          <w:rFonts w:ascii="Times New Roman" w:hAnsi="Times New Roman"/>
          <w:b/>
          <w:sz w:val="21"/>
        </w:rPr>
        <w:t>全部在正文被引用</w:t>
      </w:r>
      <w:r>
        <w:rPr>
          <w:rFonts w:ascii="Times New Roman" w:hAnsi="Times New Roman"/>
          <w:b w:val="0"/>
          <w:sz w:val="21"/>
        </w:rPr>
        <w:t>，无"表里有、正文无"的僵尸条目；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>- 摘要 0 引用、结论 0 引用；</w:t>
      </w:r>
    </w:p>
    <w:p>
      <w:pPr>
        <w:jc w:val="both"/>
      </w:pPr>
      <w:r>
        <w:rPr>
          <w:rFonts w:ascii="Times New Roman" w:hAnsi="Times New Roman"/>
          <w:b w:val="0"/>
          <w:sz w:val="21"/>
        </w:rPr>
        <w:t xml:space="preserve">- 46 条 DOI 全部经 </w:t>
      </w:r>
      <w:r>
        <w:rPr>
          <w:rFonts w:ascii="Times New Roman" w:hAnsi="Times New Roman"/>
          <w:b/>
          <w:sz w:val="21"/>
        </w:rPr>
        <w:t>Crossref API 逐条核验</w:t>
      </w:r>
      <w:r>
        <w:rPr>
          <w:rFonts w:ascii="Times New Roman" w:hAnsi="Times New Roman"/>
          <w:b w:val="0"/>
          <w:sz w:val="21"/>
        </w:rPr>
        <w:t>，无编造、无二手转抄。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