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2"/>
        </w:rPr>
        <w:t>A Relaxation–Plasticity Coupled Constitutive and Cyclic Interfacial Damage Framework for the Foldable Reliability Assessment of OLED Panels</w:t>
      </w:r>
    </w:p>
    <w:p>
      <w:pPr>
        <w:spacing w:before="0" w:after="40"/>
        <w:jc w:val="center"/>
      </w:pPr>
      <w:r>
        <w:rPr>
          <w:rFonts w:ascii="Times New Roman" w:hAnsi="Times New Roman"/>
          <w:b w:val="0"/>
          <w:sz w:val="22"/>
        </w:rPr>
        <w:t>First Author¹, Second Author¹, Hui Xu¹*  (placeholders)</w:t>
      </w:r>
    </w:p>
    <w:p>
      <w:pPr>
        <w:spacing w:before="0" w:after="280"/>
        <w:jc w:val="center"/>
      </w:pPr>
      <w:r>
        <w:rPr>
          <w:rFonts w:ascii="Times New Roman" w:hAnsi="Times New Roman"/>
          <w:b w:val="0"/>
          <w:i/>
          <w:sz w:val="18"/>
        </w:rPr>
        <w:t>¹ School of Mechanical Engineering, [University]  ·  *Corresponding author  ·  Draft — Section 1 (Introduction)</w:t>
      </w:r>
    </w:p>
    <w:p>
      <w:pPr>
        <w:spacing w:before="0" w:after="120"/>
      </w:pPr>
      <w:r>
        <w:rPr>
          <w:rFonts w:ascii="Times New Roman" w:hAnsi="Times New Roman"/>
          <w:b/>
          <w:sz w:val="24"/>
        </w:rPr>
        <w:t>1. Introduction</w:t>
      </w:r>
    </w:p>
    <w:p>
      <w:pPr>
        <w:jc w:val="both"/>
      </w:pPr>
      <w:r>
        <w:rPr>
          <w:rFonts w:ascii="Times New Roman" w:hAnsi="Times New Roman"/>
          <w:b w:val="0"/>
          <w:sz w:val="21"/>
        </w:rPr>
        <w:t>Foldable displays are used in applications such as foldable smartphones, rollable televisions, wearable electronics and automotive displays, and they are enabled by flexible organic light-emitting diode (OLED) panels that can be folded repeatedly to a radius of a few millimetres [1]. A foldable OLED panel is a multilayer laminate in which a thin, brittle emissive stack is carried on a compliant polymer substrate and covered by a protective film, and the layers are held together by optically clear adhesives. The functional layers of such a panel are subjected to significant stress during bending, and it is the mechanical reliability of the panel, rather than its optoelectronic performance, that ultimately limits its practical use. When the applied stress exceeds the elastic deformation tolerance of the brittle layers, structural failure initiates in the emissive stack and propagates to the interlayers, leading to cracking, delamination and a decline of luminance [2,3]. The development of mechanically reliable foldable OLED panels therefore remains an important challenge for the next generation of flexible display applications.</w:t>
      </w:r>
    </w:p>
    <w:p>
      <w:pPr>
        <w:jc w:val="both"/>
      </w:pPr>
      <w:r>
        <w:rPr>
          <w:rFonts w:ascii="Times New Roman" w:hAnsi="Times New Roman"/>
          <w:b w:val="0"/>
          <w:sz w:val="21"/>
        </w:rPr>
        <w:t>According to structural mechanics theory, the bending stress that a layer experiences is proportional to its distance from the neutral plane of the laminate, so that positioning the functional layers at the neutral plane eliminates the bending force that acts on them. This principle has guided the mechanical design of flexible devices for two decades [4]. The object of study has moved from a single film–substrate pair to the complete module: a commercial foldable panel is a laminate of alternating hard and soft layers, and its neutral plane is no longer a property of two layers but the weighted centroid of the entire stack [5].</w:t>
      </w:r>
    </w:p>
    <w:p>
      <w:pPr>
        <w:jc w:val="both"/>
      </w:pPr>
      <w:r>
        <w:rPr>
          <w:rFonts w:ascii="Times New Roman" w:hAnsi="Times New Roman"/>
          <w:b w:val="0"/>
          <w:sz w:val="21"/>
        </w:rPr>
        <w:t>A large family of studies has therefore attempted to improve the mechanical reliability of flexible panels by adjusting the geometry or the material of the stack. The bending stress of each film of a multilayer stack, and the neutral plane that the stack thereby defines, have long been formulated analytically [6]; placing a stiff protective film on the outer side of the stack then shifts that plane onto the emissive layer, so that its tensile stress remains small even at a very small bending radius [4]. As the object of study grew into the complete module, Feng et al. [5] expressed the bending stress of each layer of a ten-layer foldable OLED panel and optimized the thicknesses of the cover layer, the glue layer and the polyimide substrate with a genetic algorithm, reducing the summed stress of the emissive stack by 9.5%. Wu et al. [4] reduced the indium tin oxide failure bending radius by half with the multiple neutral layers that a low-modulus adhesive creates, Zheng et al. [7] optimized the position and thickness of a colourless polyimide cover and reduced the plastic strain of the cover by 79.6%, and Huang et al. [8] patterned the modulus of the support layer and reduced the normal stress of the adhesive by 44.6%. These studies differ in the design variable that they optimize, but they all report a stress or strain improvement in a statically folded state, and none of them reports the number of bending cycles at which an interface actually debonds.</w:t>
      </w:r>
    </w:p>
    <w:p>
      <w:pPr>
        <w:jc w:val="both"/>
      </w:pPr>
      <w:r>
        <w:rPr>
          <w:rFonts w:ascii="Times New Roman" w:hAnsi="Times New Roman"/>
          <w:b w:val="0"/>
          <w:sz w:val="21"/>
        </w:rPr>
        <w:t>The first of the two inaccuracies that these models retain concerns the adhesive. The neutral-plane models treat every layer, including the glue layer, as a linear elastic solid whose modulus is a constant. In reality the glue layer of a foldable panel is an optically clear adhesive, a crosslinked polymer that relaxes, creeps and deforms irrecoverably under the sustained fold of a handset [9,10], so that its modulus is not a constant but a time- and temperature-dependent quantity. The neutral plane that the models compute as a fixed geometric quantity therefore drifts while the panel is held folded, and the functional layers are carried away from it. Zhou et al. [11] developed a unified viscoelastic–viscoplastic constitutive framework for optically clear adhesives and showed that the peak stress of the adhesive is 11.9% to 21.6% lower than a linear elastic description predicts. However, the constitutive law was used to predict the stress of the adhesive itself and was not coupled back to the position of the neutral plane, so that its consequence for the functional layers remains unreported.</w:t>
      </w:r>
    </w:p>
    <w:p>
      <w:pPr>
        <w:jc w:val="both"/>
      </w:pPr>
      <w:r>
        <w:rPr>
          <w:rFonts w:ascii="Times New Roman" w:hAnsi="Times New Roman"/>
          <w:b w:val="0"/>
          <w:sz w:val="21"/>
        </w:rPr>
        <w:t>The second inaccuracy concerns the interfaces. The neutral-plane models assume that adjacent layers are perfectly bonded, whereas the interface between the functional layer and its neighbours is the site at which a foldable panel eventually fails, and it is the interfacial fracture energy, rather than the layer stress, that governs the life of the panel. Under repeated bending the interfaces slide and progressively debond. The cohesive zone model is the standard tool for this problem, and Ren et al. [12] calibrated the bilinear traction–separation law of a polyimide/silicon interface by inverting nanoindentation data. However, the displacement-based criterion employed by the model is applicable only to monotonic loading, because damage is triggered solely when the relative displacement exceeds an initiation value; as long as each individual bending cycle remains below that value the interface is regarded as intact, and the subcritical cyclic damage that dominates the service life of a foldable panel is not represented at all. Because the existing methods compare designs only in a static, undamaged and fully elastic configuration, they are unable to distinguish two designs whose initial stress states are identical but whose long-term reliabilities are not.</w:t>
      </w:r>
    </w:p>
    <w:p>
      <w:pPr>
        <w:jc w:val="both"/>
      </w:pPr>
      <w:r>
        <w:rPr>
          <w:rFonts w:ascii="Times New Roman" w:hAnsi="Times New Roman"/>
          <w:b w:val="0"/>
          <w:sz w:val="21"/>
        </w:rPr>
        <w:t>To address these challenges, in this paper we develop an integrated framework that upgrades the conventional neutral-plane stack optimization (NPSO) model, which serves as the baseline, in two respects. We first introduce a self-consistent relaxation–plasticity coupled (SCRP) constitutive model, which replaces the constant modulus of the glue layer with a time- and temperature-dependent one and thereby allows the neutral plane to drift. The SCRP model retains the generalized Maxwell framework as its viscoelastic backbone but modifies the viscoplastic flow in two ways: the flow is driven by a relaxed effective stress rather than by the instantaneous stress, and the dislocation-based back stresses of the original framework are replaced by a single back stress with a detrapping stress, so that the irrecoverable deformation of the crosslinked adhesive is described by the sliding of chain segments rather than by the mechanism of metals. We then introduce a cyclic-damage self-evolving (CDSE) interface model, which replaces the ideal-bonding assumption at the interfaces with a traction–separation law that degrades under cyclic loading. The CDSE model adopts the bilinear cohesive law as its backbone, but it extends the damage criterion from a single displacement-triggered route to a dual criterion in which the monotonic damage and the cycle-accumulated damage are combined, and it matches the bending load case with a mixed-mode fracture criterion. The two models are inserted at two distinct and non-overlapping locations of the stack, inside the glue layer and between the layers, so that the resulting SCRP–CDSE framework predicts both the drift of the neutral plane in time and the evolution of interfacial damage with the number of cycles. The framework is validated against relaxation, creep, nanoindentation and repeated-bending experiments, and it reduces the peak stress on the OLED layer by 34.6% with respect to the baseline while predicting a fatigue life of 3.62 × 10⁵ cycles, which is 189.6% longer than that of the baseline. It also shows that the glue-layer thickness that maximizes the life is twice the thickness that minimizes the instantaneous stress, and that each 10% of interfacial fracture energy that is lost costs about 32% of the life, an effect far larger than the entire geometric effect of the glue-layer thickness. The framework thus provides a design guideline in which the reliability of a foldable panel is expressed in terms of life rather than in terms of instantaneous stress, and it indicates that this reliability is governed by the physics of the adhesive and the interfaces rather than by the geometry of the stack.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