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32"/>
        </w:rPr>
        <w:t>A Relaxation–Plasticity Coupled Constitutive and Cyclic Interfacial Damage Framework for the Foldable Reliability Assessment of OLED Panels</w:t>
      </w:r>
    </w:p>
    <w:p>
      <w:pPr>
        <w:spacing w:before="0" w:after="40"/>
        <w:jc w:val="center"/>
      </w:pPr>
      <w:r>
        <w:rPr>
          <w:rFonts w:ascii="Times New Roman" w:hAnsi="Times New Roman"/>
          <w:b w:val="0"/>
          <w:sz w:val="22"/>
        </w:rPr>
        <w:t>First Author¹, Second Author¹, Hui Xu¹*  (placeholders)</w:t>
      </w:r>
    </w:p>
    <w:p>
      <w:pPr>
        <w:spacing w:before="0" w:after="280"/>
        <w:jc w:val="center"/>
      </w:pPr>
      <w:r>
        <w:rPr>
          <w:rFonts w:ascii="Times New Roman" w:hAnsi="Times New Roman"/>
          <w:b w:val="0"/>
          <w:i/>
          <w:sz w:val="18"/>
        </w:rPr>
        <w:t>¹ School of Mechanical Engineering, [University]  ·  *Corresponding author  ·  Draft — Conclusion</w:t>
      </w:r>
    </w:p>
    <w:p>
      <w:pPr>
        <w:spacing w:before="0" w:after="120"/>
      </w:pPr>
      <w:r>
        <w:rPr>
          <w:rFonts w:ascii="Times New Roman" w:hAnsi="Times New Roman"/>
          <w:b/>
          <w:sz w:val="24"/>
        </w:rPr>
        <w:t>5. Conclusion</w:t>
      </w:r>
    </w:p>
    <w:p>
      <w:pPr>
        <w:jc w:val="both"/>
      </w:pPr>
      <w:r>
        <w:rPr>
          <w:rFonts w:ascii="Times New Roman" w:hAnsi="Times New Roman"/>
          <w:b w:val="0"/>
          <w:sz w:val="21"/>
        </w:rPr>
        <w:t>The reliability of a foldable OLED panel is decided by two effects that the conventional neutral-plane model does not contain: the relaxation of the glue layer, which drifts the neutral plane away from the functional layers, and the accumulation of interfacial damage, which eventually debonds them. In this work, we proposed an integrated SCRP–CDSE framework that removes both, by inserting two modules at two distinct and non-overlapping locations of the stack. The SCRP (self-consistent relaxation–plasticity coupled) module replaces the constant modulus of the glue layer with a time- and temperature-dependent one; it lowers the bending moment that is transmitted to the functional layers and allows the neutral plane to move, and on its own it reduces the peak stress on the OLED layer by 34.6% and lengthens the life by 34.4%. The CDSE (cyclic-damage self-evolving) module replaces the ideal-bonding assumption with a traction–separation law that degrades under cyclic loading; it converts the driving force into a fatigue life, and it raises the life by 108.8% on its own. Because the two modules act inside the layer and between the layers, they are complementary rather than redundant: the reduced driving force delivered by the SCRP module extends the interval over which the damage law of the CDSE module remains effective, so that the two life gains compound instead of adding up, and their combination reduces the peak OLED-layer stress by 34.6% and raises the predicted fatigue life by 189.6%, to 3.62 × 10⁵ cycles — more than the 143.2% that a purely additive combination of the two gains would give, and more than the 180.6% that a purely multiplicative one would give.</w:t>
      </w:r>
    </w:p>
    <w:p>
      <w:pPr>
        <w:jc w:val="both"/>
      </w:pPr>
      <w:r>
        <w:rPr>
          <w:rFonts w:ascii="Times New Roman" w:hAnsi="Times New Roman"/>
          <w:b w:val="0"/>
          <w:sz w:val="21"/>
        </w:rPr>
        <w:t>The framework also exposes two design conclusions that a stress-based analysis cannot reach. First, the glue-layer thickness that maximizes the life is twice the thickness that minimizes the instantaneous stress, so that a design optimized with respect to the stress alone is systematically sub-optimal with respect to the life. Second, the predicted life scales with the interfacial fracture energy to the power of the fatigue exponent, so that each 10% of fracture energy that is lost removes about 32% of the life, an effect that is far larger than the entire geometric effect of the glue-layer thickness. The design objective of a foldable panel should therefore be expressed in terms of life rather than in terms of instantaneous stress, and its reliability is governed by the physics of its adhesive and its interfaces rather than by the geometry of its stack.</w:t>
      </w:r>
    </w:p>
    <w:p>
      <w:pPr>
        <w:jc w:val="both"/>
      </w:pPr>
      <w:r>
        <w:rPr>
          <w:rFonts w:ascii="Times New Roman" w:hAnsi="Times New Roman"/>
          <w:b w:val="0"/>
          <w:sz w:val="21"/>
        </w:rPr>
        <w:t>The present framework is two-dimensional and plane stress, and its temperature range and moisture conditions are limited; since the relaxation spectrum of the SCRP module and the damage variable of the CDSE module are both formulated in a modular way, they can be extended to a wider range of service environments and coupled to the luminance decay of the emissive layer in future 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