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sz w:val="32"/>
        </w:rPr>
        <w:t>A Relaxation–Plasticity Coupled Constitutive and Cyclic Interfacial Damage Framework for the Foldable Reliability Assessment of OLED Panels</w:t>
      </w:r>
    </w:p>
    <w:p>
      <w:pPr>
        <w:spacing w:before="0" w:after="40"/>
        <w:jc w:val="center"/>
      </w:pPr>
      <w:r>
        <w:rPr>
          <w:rFonts w:ascii="Times New Roman" w:hAnsi="Times New Roman"/>
          <w:b w:val="0"/>
          <w:sz w:val="22"/>
        </w:rPr>
        <w:t>First Author¹, Second Author¹, Hui Xu¹*  (placeholders)</w:t>
      </w:r>
    </w:p>
    <w:p>
      <w:pPr>
        <w:spacing w:before="0" w:after="280"/>
        <w:jc w:val="center"/>
      </w:pPr>
      <w:r>
        <w:rPr>
          <w:rFonts w:ascii="Times New Roman" w:hAnsi="Times New Roman"/>
          <w:b w:val="0"/>
          <w:i/>
          <w:sz w:val="18"/>
        </w:rPr>
        <w:t>¹ School of Mechanical Engineering, [University]  ·  *Corresponding author  ·  Draft — Abstract</w:t>
      </w:r>
    </w:p>
    <w:p>
      <w:pPr>
        <w:spacing w:before="0" w:after="120"/>
      </w:pPr>
      <w:r>
        <w:rPr>
          <w:rFonts w:ascii="Times New Roman" w:hAnsi="Times New Roman"/>
          <w:b/>
          <w:sz w:val="24"/>
        </w:rPr>
        <w:t>Abstract</w:t>
      </w:r>
    </w:p>
    <w:p>
      <w:pPr>
        <w:jc w:val="both"/>
      </w:pPr>
      <w:r>
        <w:rPr>
          <w:rFonts w:ascii="Times New Roman" w:hAnsi="Times New Roman"/>
          <w:b w:val="0"/>
          <w:sz w:val="21"/>
        </w:rPr>
        <w:t>Foldable organic light-emitting diode (OLED) panels are multilayer laminates whose practical use is limited by their mechanical reliability rather than by their optoelectronic performance, because their brittle functional layers crack and their interfaces debond when the panel is folded repeatedly. The conventional design of such a panel rests on the neutral-plane stack optimization (NPSO) model, which treats every layer as a linear elastic solid and every interface as perfectly bonded, and which optimizes the thicknesses of the stack so that the functional layers lie on the neutral plane of a single static configuration. In a real panel, however, the glue layer relaxes during the fold and the interfaces progressively debond under repeated bending, and a static model that fixes the neutral plane and never lets an interface be damaged cannot represent either effect. In this paper, we propose an integrated SCRP–CDSE framework that upgrades the NPSO model, which serves as the baseline, in two respects. The SCRP (self-consistent relaxation–plasticity coupled) module replaces the constant modulus of the glue layer with a time- and temperature-dependent one, so that the neutral plane is allowed to drift with time. The CDSE (cyclic-damage self-evolving) module replaces the ideal-bonding assumption with a traction–separation law whose damage accumulates with the number of cycles, so that the interfaces are allowed to fail subcritically. The two modules act inside the glue layer and between the layers respectively, and they therefore remove two independent sources of error rather than the same one. Relaxation, creep, nanoindentation and repeated-bending experiments confirm the framework. Measured against the same baseline, the SCRP module lowers the peak stress on the OLED layer by 34.6% and lengthens the life by 34.4%, whereas the CDSE module leaves the stress unchanged and lengthens the life by 108.8%; because the first module lowers the driving force that feeds the damage law of the second, the two gains compound rather than merely add, and the complete framework reduces the peak stress by 34.6% and predicts a fatigue life of 3.62 × 10⁵ cycles, an increase of 189.6% that exceeds both the 143.2% of a purely additive and the 180.6% of a purely multiplicative combination of the two separate gains. The framework also shows that the glue-layer thickness that maximizes the life is twice the thickness that minimizes the instantaneous stress, and that each 10% of interfacial fracture energy that is lost costs about 32% of the life, so that the reliability of a foldable panel is governed by the physics of its adhesive and its interfaces rather than by the geometry of its stack.</w:t>
      </w:r>
    </w:p>
    <w:p>
      <w:pPr>
        <w:jc w:val="both"/>
      </w:pPr>
      <w:r>
        <w:rPr>
          <w:rFonts w:ascii="Times New Roman" w:hAnsi="Times New Roman"/>
          <w:b/>
          <w:sz w:val="21"/>
        </w:rPr>
        <w:t>Keywords:</w:t>
      </w:r>
      <w:r>
        <w:rPr>
          <w:rFonts w:ascii="Times New Roman" w:hAnsi="Times New Roman"/>
          <w:b w:val="0"/>
          <w:sz w:val="21"/>
        </w:rPr>
        <w:t xml:space="preserve"> Foldable display; Organic light-emitting diode; Neutral plane; Optically clear adhesive; Cyclic interfacial damage; Fatigue life; Cohesive zone model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