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sz w:val="32"/>
        </w:rPr>
        <w:t>A Biochar-Reinforced Bio-based Superabsorbent Composite with Slow-release Nitrogen for Water Retention in Water-saving Irrigation</w:t>
      </w:r>
    </w:p>
    <w:p>
      <w:pPr>
        <w:spacing w:before="0" w:after="40"/>
        <w:jc w:val="center"/>
      </w:pPr>
      <w:r>
        <w:rPr>
          <w:rFonts w:ascii="Times New Roman" w:hAnsi="Times New Roman"/>
          <w:b w:val="0"/>
          <w:i w:val="0"/>
          <w:sz w:val="22"/>
        </w:rPr>
        <w:t>First Author¹, Second Author¹, [Materials Supervisor]¹</w:t>
      </w:r>
      <w:r>
        <w:rPr>
          <w:rFonts w:ascii="Times New Roman" w:hAnsi="Times New Roman"/>
          <w:b w:val="0"/>
          <w:i/>
          <w:sz w:val="22"/>
        </w:rPr>
        <w:t>, Yong Liu²</w:t>
      </w:r>
      <w:r>
        <w:rPr>
          <w:rFonts w:ascii="Times New Roman" w:hAnsi="Times New Roman"/>
          <w:b w:val="0"/>
          <w:i w:val="0"/>
          <w:sz w:val="22"/>
        </w:rPr>
        <w:t xml:space="preserve">  (placeholders)</w:t>
      </w:r>
    </w:p>
    <w:p>
      <w:pPr>
        <w:spacing w:before="0" w:after="280"/>
        <w:jc w:val="center"/>
      </w:pPr>
      <w:r>
        <w:rPr>
          <w:rFonts w:ascii="Times New Roman" w:hAnsi="Times New Roman"/>
          <w:b w:val="0"/>
          <w:i/>
          <w:sz w:val="18"/>
        </w:rPr>
        <w:t>¹ School of Mechanical Engineering, [University]  ·  ² School of Water Conservancy and Civil Engineering, [University]  ·  *Corresponding author  ·  Draft — Materials and Methods</w:t>
      </w:r>
    </w:p>
    <w:p>
      <w:pPr>
        <w:spacing w:before="0" w:after="120"/>
      </w:pPr>
      <w:r>
        <w:rPr>
          <w:rFonts w:ascii="Times New Roman" w:hAnsi="Times New Roman"/>
          <w:b/>
          <w:i w:val="0"/>
          <w:sz w:val="24"/>
        </w:rPr>
        <w:t>2. Materials and Methods</w:t>
      </w:r>
    </w:p>
    <w:p>
      <w:pPr>
        <w:jc w:val="both"/>
      </w:pPr>
      <w:r>
        <w:rPr>
          <w:rFonts w:ascii="Times New Roman" w:hAnsi="Times New Roman"/>
          <w:b w:val="0"/>
          <w:i w:val="0"/>
          <w:sz w:val="21"/>
        </w:rPr>
        <w:t>This section describes, following the flow of the material from raw reagents to the finished irrigation material, how the biochar-reinforced bio-based superabsorbent composite is prepared and evaluated. Section 2.1 lists the reagents and raw materials. Section 2.2 describes the pretreatment of the biomass backbone and the preparation of the biochar. Section 2.3 describes the synthesis of the baseline bio-based superabsorbent polymer (SAP), abbreviated as A′. Section 2.4 describes the loading of the slow-release nitrogen module (b′), and Section 2.5 describes the reinforcement of the network with the biochar module (c′). Sections 2.6 and 2.7 describe the structural characterization and the performance measurements, respectively, and Section 2.8 describes the pot experiment and the statistical analysis. The overall synthesis route, the three-dimensional network, and the assembly of the three building blocks A′, b′, and c′ are illustrated in Figure 1.</w:t>
      </w:r>
    </w:p>
    <w:p>
      <w:pPr>
        <w:spacing w:before="120" w:after="160"/>
        <w:jc w:val="left"/>
      </w:pPr>
      <w:r>
        <w:rPr>
          <w:rFonts w:ascii="Times New Roman" w:hAnsi="Times New Roman"/>
          <w:b w:val="0"/>
          <w:i w:val="0"/>
          <w:sz w:val="19"/>
        </w:rPr>
        <w:t>Figure 1  Schematic illustration of the preparation route and the three-dimensional network of the biochar-reinforced bio-based superabsorbent composite. The baseline network A′ (bio-based graft poly(acrylic acid-co-acrylamide)) is built on a biomass backbone; the slow-release nitrogen module b′ (urea) is locked into the network by hydrogen bonding; and the biochar module c′ provides additional grafting sites and acts as a reinforcing filler.</w:t>
      </w:r>
    </w:p>
    <w:p>
      <w:pPr>
        <w:spacing w:before="200" w:after="80"/>
      </w:pPr>
      <w:r>
        <w:rPr>
          <w:rFonts w:ascii="Times New Roman" w:hAnsi="Times New Roman"/>
          <w:b/>
          <w:i w:val="0"/>
          <w:sz w:val="22"/>
        </w:rPr>
        <w:t>2.1 Materials</w:t>
      </w:r>
    </w:p>
    <w:p>
      <w:pPr>
        <w:jc w:val="both"/>
      </w:pPr>
      <w:r>
        <w:rPr>
          <w:rFonts w:ascii="Times New Roman" w:hAnsi="Times New Roman"/>
          <w:b w:val="0"/>
          <w:i w:val="0"/>
          <w:sz w:val="21"/>
        </w:rPr>
        <w:t>Corn starch and sodium carboxymethyl cellulose (CMC, degree of substitution DS = 1.2; viscosity 1500–3100 mPa·s) were used as the biomass backbones and were purchased from Shanghai Aladdin Biochemical Technology Co., Ltd. (Shanghai, China). Acrylic acid (AA) and acrylamide (AAm) were supplied by Tianjin Kemiou Chemical Reagent Co., Ltd. (Tianjin, China). N,N′-methylenebisacrylamide (MBA) and potassium persulfate (KPS) were obtained from Shanghai Macklin Biochemical Co., Ltd. (Shanghai, China). Sodium hydroxide (NaOH), urea (CO(NH₂)₂), and absolute ethanol were sourced from Sinopharm Chemical Reagent Co., Ltd. (Shanghai, China). All reagents were of analytical grade and were used as received without further purification. Deionized water was used throughout the experiments.</w:t>
      </w:r>
    </w:p>
    <w:p>
      <w:pPr>
        <w:jc w:val="both"/>
      </w:pPr>
      <w:r>
        <w:rPr>
          <w:rFonts w:ascii="Times New Roman" w:hAnsi="Times New Roman"/>
          <w:b w:val="0"/>
          <w:i w:val="0"/>
          <w:sz w:val="21"/>
        </w:rPr>
        <w:t>Corn straw and rice husk used for the preparation of biochar were collected locally and were used as agricultural residues. The soil used in the water-retention and pot experiments was black soil collected from the plough layer (0–15 cm) of a farmland in Heilongjiang Province, China; it was air-dried, ground, passed through a 2-mm sieve, and stored before use. Cucumber (Cucumis sativus) seeds were purchased from Hebei Qingfeng Agricultural Science and Technology Co., Ltd. (Hebei, China).</w:t>
      </w:r>
    </w:p>
    <w:p>
      <w:pPr>
        <w:spacing w:before="120" w:after="160"/>
        <w:jc w:val="left"/>
      </w:pPr>
      <w:r>
        <w:rPr>
          <w:rFonts w:ascii="Times New Roman" w:hAnsi="Times New Roman"/>
          <w:b w:val="0"/>
          <w:i w:val="0"/>
          <w:sz w:val="19"/>
        </w:rPr>
        <w:t>Table 1  Formulation and sample codes of the prepared materials.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before="20" w:after="20"/>
            </w:pPr>
            <w:r>
              <w:rPr>
                <w:rFonts w:ascii="Times New Roman" w:hAnsi="Times New Roman"/>
                <w:b/>
                <w:i w:val="0"/>
                <w:sz w:val="19"/>
              </w:rPr>
              <w:t>Sample</w:t>
            </w:r>
          </w:p>
        </w:tc>
        <w:tc>
          <w:tcPr>
            <w:tcW w:type="dxa" w:w="1560"/>
          </w:tcPr>
          <w:p>
            <w:pPr>
              <w:spacing w:before="20" w:after="20"/>
            </w:pPr>
            <w:r>
              <w:rPr>
                <w:rFonts w:ascii="Times New Roman" w:hAnsi="Times New Roman"/>
                <w:b/>
                <w:i w:val="0"/>
                <w:sz w:val="19"/>
              </w:rPr>
              <w:t>Backbone (g)</w:t>
            </w:r>
          </w:p>
        </w:tc>
        <w:tc>
          <w:tcPr>
            <w:tcW w:type="dxa" w:w="1560"/>
          </w:tcPr>
          <w:p>
            <w:pPr>
              <w:spacing w:before="20" w:after="20"/>
            </w:pPr>
            <w:r>
              <w:rPr>
                <w:rFonts w:ascii="Times New Roman" w:hAnsi="Times New Roman"/>
                <w:b/>
                <w:i w:val="0"/>
                <w:sz w:val="19"/>
              </w:rPr>
              <w:t>AA : AAm (molar)</w:t>
            </w:r>
          </w:p>
        </w:tc>
        <w:tc>
          <w:tcPr>
            <w:tcW w:type="dxa" w:w="1560"/>
          </w:tcPr>
          <w:p>
            <w:pPr>
              <w:spacing w:before="20" w:after="20"/>
            </w:pPr>
            <w:r>
              <w:rPr>
                <w:rFonts w:ascii="Times New Roman" w:hAnsi="Times New Roman"/>
                <w:b/>
                <w:i w:val="0"/>
                <w:sz w:val="19"/>
              </w:rPr>
              <w:t>Urea (wt% of backbone)</w:t>
            </w:r>
          </w:p>
        </w:tc>
        <w:tc>
          <w:tcPr>
            <w:tcW w:type="dxa" w:w="1560"/>
          </w:tcPr>
          <w:p>
            <w:pPr>
              <w:spacing w:before="20" w:after="20"/>
            </w:pPr>
            <w:r>
              <w:rPr>
                <w:rFonts w:ascii="Times New Roman" w:hAnsi="Times New Roman"/>
                <w:b/>
                <w:i w:val="0"/>
                <w:sz w:val="19"/>
              </w:rPr>
              <w:t>Biochar (wt% of backbone)</w:t>
            </w:r>
          </w:p>
        </w:tc>
        <w:tc>
          <w:tcPr>
            <w:tcW w:type="dxa" w:w="1560"/>
          </w:tcPr>
          <w:p>
            <w:pPr>
              <w:spacing w:before="20" w:after="20"/>
            </w:pPr>
            <w:r>
              <w:rPr>
                <w:rFonts w:ascii="Times New Roman" w:hAnsi="Times New Roman"/>
                <w:b/>
                <w:i w:val="0"/>
                <w:sz w:val="19"/>
              </w:rPr>
              <w:t>Role</w:t>
            </w:r>
          </w:p>
        </w:tc>
      </w:tr>
      <w:tr>
        <w:tc>
          <w:tcPr>
            <w:tcW w:type="dxa" w:w="1560"/>
          </w:tcPr>
          <w:p>
            <w:pPr>
              <w:spacing w:before="20" w:after="20"/>
            </w:pPr>
            <w:r>
              <w:rPr>
                <w:rFonts w:ascii="Times New Roman" w:hAnsi="Times New Roman"/>
                <w:b w:val="0"/>
                <w:i w:val="0"/>
                <w:sz w:val="19"/>
              </w:rPr>
              <w:t>A′</w:t>
            </w:r>
          </w:p>
        </w:tc>
        <w:tc>
          <w:tcPr>
            <w:tcW w:type="dxa" w:w="1560"/>
          </w:tcPr>
          <w:p>
            <w:pPr>
              <w:spacing w:before="20" w:after="20"/>
            </w:pPr>
            <w:r>
              <w:rPr>
                <w:rFonts w:ascii="Times New Roman" w:hAnsi="Times New Roman"/>
                <w:b w:val="0"/>
                <w:i w:val="0"/>
                <w:sz w:val="19"/>
              </w:rPr>
              <w:t>1.0</w:t>
            </w:r>
          </w:p>
        </w:tc>
        <w:tc>
          <w:tcPr>
            <w:tcW w:type="dxa" w:w="1560"/>
          </w:tcPr>
          <w:p>
            <w:pPr>
              <w:spacing w:before="20" w:after="20"/>
            </w:pPr>
            <w:r>
              <w:rPr>
                <w:rFonts w:ascii="Times New Roman" w:hAnsi="Times New Roman"/>
                <w:b w:val="0"/>
                <w:i w:val="0"/>
                <w:sz w:val="19"/>
              </w:rPr>
              <w:t>1 : 0.1</w:t>
            </w:r>
          </w:p>
        </w:tc>
        <w:tc>
          <w:tcPr>
            <w:tcW w:type="dxa" w:w="1560"/>
          </w:tcPr>
          <w:p>
            <w:pPr>
              <w:spacing w:before="20" w:after="20"/>
            </w:pPr>
            <w:r>
              <w:rPr>
                <w:rFonts w:ascii="Times New Roman" w:hAnsi="Times New Roman"/>
                <w:b w:val="0"/>
                <w:i w:val="0"/>
                <w:sz w:val="19"/>
              </w:rPr>
              <w:t>0</w:t>
            </w:r>
          </w:p>
        </w:tc>
        <w:tc>
          <w:tcPr>
            <w:tcW w:type="dxa" w:w="1560"/>
          </w:tcPr>
          <w:p>
            <w:pPr>
              <w:spacing w:before="20" w:after="20"/>
            </w:pPr>
            <w:r>
              <w:rPr>
                <w:rFonts w:ascii="Times New Roman" w:hAnsi="Times New Roman"/>
                <w:b w:val="0"/>
                <w:i w:val="0"/>
                <w:sz w:val="19"/>
              </w:rPr>
              <w:t>0</w:t>
            </w:r>
          </w:p>
        </w:tc>
        <w:tc>
          <w:tcPr>
            <w:tcW w:type="dxa" w:w="1560"/>
          </w:tcPr>
          <w:p>
            <w:pPr>
              <w:spacing w:before="20" w:after="20"/>
            </w:pPr>
            <w:r>
              <w:rPr>
                <w:rFonts w:ascii="Times New Roman" w:hAnsi="Times New Roman"/>
                <w:b w:val="0"/>
                <w:i w:val="0"/>
                <w:sz w:val="19"/>
              </w:rPr>
              <w:t>Baseline SAP</w:t>
            </w:r>
          </w:p>
        </w:tc>
      </w:tr>
      <w:tr>
        <w:tc>
          <w:tcPr>
            <w:tcW w:type="dxa" w:w="1560"/>
          </w:tcPr>
          <w:p>
            <w:pPr>
              <w:spacing w:before="20" w:after="20"/>
            </w:pPr>
            <w:r>
              <w:rPr>
                <w:rFonts w:ascii="Times New Roman" w:hAnsi="Times New Roman"/>
                <w:b w:val="0"/>
                <w:i w:val="0"/>
                <w:sz w:val="19"/>
              </w:rPr>
              <w:t>A′+b′</w:t>
            </w:r>
          </w:p>
        </w:tc>
        <w:tc>
          <w:tcPr>
            <w:tcW w:type="dxa" w:w="1560"/>
          </w:tcPr>
          <w:p>
            <w:pPr>
              <w:spacing w:before="20" w:after="20"/>
            </w:pPr>
            <w:r>
              <w:rPr>
                <w:rFonts w:ascii="Times New Roman" w:hAnsi="Times New Roman"/>
                <w:b w:val="0"/>
                <w:i w:val="0"/>
                <w:sz w:val="19"/>
              </w:rPr>
              <w:t>1.0</w:t>
            </w:r>
          </w:p>
        </w:tc>
        <w:tc>
          <w:tcPr>
            <w:tcW w:type="dxa" w:w="1560"/>
          </w:tcPr>
          <w:p>
            <w:pPr>
              <w:spacing w:before="20" w:after="20"/>
            </w:pPr>
            <w:r>
              <w:rPr>
                <w:rFonts w:ascii="Times New Roman" w:hAnsi="Times New Roman"/>
                <w:b w:val="0"/>
                <w:i w:val="0"/>
                <w:sz w:val="19"/>
              </w:rPr>
              <w:t>1 : 0.1</w:t>
            </w:r>
          </w:p>
        </w:tc>
        <w:tc>
          <w:tcPr>
            <w:tcW w:type="dxa" w:w="1560"/>
          </w:tcPr>
          <w:p>
            <w:pPr>
              <w:spacing w:before="20" w:after="20"/>
            </w:pPr>
            <w:r>
              <w:rPr>
                <w:rFonts w:ascii="Times New Roman" w:hAnsi="Times New Roman"/>
                <w:b w:val="0"/>
                <w:i w:val="0"/>
                <w:sz w:val="19"/>
              </w:rPr>
              <w:t>50</w:t>
            </w:r>
          </w:p>
        </w:tc>
        <w:tc>
          <w:tcPr>
            <w:tcW w:type="dxa" w:w="1560"/>
          </w:tcPr>
          <w:p>
            <w:pPr>
              <w:spacing w:before="20" w:after="20"/>
            </w:pPr>
            <w:r>
              <w:rPr>
                <w:rFonts w:ascii="Times New Roman" w:hAnsi="Times New Roman"/>
                <w:b w:val="0"/>
                <w:i w:val="0"/>
                <w:sz w:val="19"/>
              </w:rPr>
              <w:t>0</w:t>
            </w:r>
          </w:p>
        </w:tc>
        <w:tc>
          <w:tcPr>
            <w:tcW w:type="dxa" w:w="1560"/>
          </w:tcPr>
          <w:p>
            <w:pPr>
              <w:spacing w:before="20" w:after="20"/>
            </w:pPr>
            <w:r>
              <w:rPr>
                <w:rFonts w:ascii="Times New Roman" w:hAnsi="Times New Roman"/>
                <w:b w:val="0"/>
                <w:i w:val="0"/>
                <w:sz w:val="19"/>
              </w:rPr>
              <w:t>Slow-release nitrogen</w:t>
            </w:r>
          </w:p>
        </w:tc>
      </w:tr>
      <w:tr>
        <w:tc>
          <w:tcPr>
            <w:tcW w:type="dxa" w:w="1560"/>
          </w:tcPr>
          <w:p>
            <w:pPr>
              <w:spacing w:before="20" w:after="20"/>
            </w:pPr>
            <w:r>
              <w:rPr>
                <w:rFonts w:ascii="Times New Roman" w:hAnsi="Times New Roman"/>
                <w:b w:val="0"/>
                <w:i w:val="0"/>
                <w:sz w:val="19"/>
              </w:rPr>
              <w:t>A′+c′</w:t>
            </w:r>
          </w:p>
        </w:tc>
        <w:tc>
          <w:tcPr>
            <w:tcW w:type="dxa" w:w="1560"/>
          </w:tcPr>
          <w:p>
            <w:pPr>
              <w:spacing w:before="20" w:after="20"/>
            </w:pPr>
            <w:r>
              <w:rPr>
                <w:rFonts w:ascii="Times New Roman" w:hAnsi="Times New Roman"/>
                <w:b w:val="0"/>
                <w:i w:val="0"/>
                <w:sz w:val="19"/>
              </w:rPr>
              <w:t>1.0</w:t>
            </w:r>
          </w:p>
        </w:tc>
        <w:tc>
          <w:tcPr>
            <w:tcW w:type="dxa" w:w="1560"/>
          </w:tcPr>
          <w:p>
            <w:pPr>
              <w:spacing w:before="20" w:after="20"/>
            </w:pPr>
            <w:r>
              <w:rPr>
                <w:rFonts w:ascii="Times New Roman" w:hAnsi="Times New Roman"/>
                <w:b w:val="0"/>
                <w:i w:val="0"/>
                <w:sz w:val="19"/>
              </w:rPr>
              <w:t>1 : 0.1</w:t>
            </w:r>
          </w:p>
        </w:tc>
        <w:tc>
          <w:tcPr>
            <w:tcW w:type="dxa" w:w="1560"/>
          </w:tcPr>
          <w:p>
            <w:pPr>
              <w:spacing w:before="20" w:after="20"/>
            </w:pPr>
            <w:r>
              <w:rPr>
                <w:rFonts w:ascii="Times New Roman" w:hAnsi="Times New Roman"/>
                <w:b w:val="0"/>
                <w:i w:val="0"/>
                <w:sz w:val="19"/>
              </w:rPr>
              <w:t>0</w:t>
            </w:r>
          </w:p>
        </w:tc>
        <w:tc>
          <w:tcPr>
            <w:tcW w:type="dxa" w:w="1560"/>
          </w:tcPr>
          <w:p>
            <w:pPr>
              <w:spacing w:before="20" w:after="20"/>
            </w:pPr>
            <w:r>
              <w:rPr>
                <w:rFonts w:ascii="Times New Roman" w:hAnsi="Times New Roman"/>
                <w:b w:val="0"/>
                <w:i w:val="0"/>
                <w:sz w:val="19"/>
              </w:rPr>
              <w:t>4</w:t>
            </w:r>
          </w:p>
        </w:tc>
        <w:tc>
          <w:tcPr>
            <w:tcW w:type="dxa" w:w="1560"/>
          </w:tcPr>
          <w:p>
            <w:pPr>
              <w:spacing w:before="20" w:after="20"/>
            </w:pPr>
            <w:r>
              <w:rPr>
                <w:rFonts w:ascii="Times New Roman" w:hAnsi="Times New Roman"/>
                <w:b w:val="0"/>
                <w:i w:val="0"/>
                <w:sz w:val="19"/>
              </w:rPr>
              <w:t>Biochar reinforcement</w:t>
            </w:r>
          </w:p>
        </w:tc>
      </w:tr>
      <w:tr>
        <w:tc>
          <w:tcPr>
            <w:tcW w:type="dxa" w:w="1560"/>
          </w:tcPr>
          <w:p>
            <w:pPr>
              <w:spacing w:before="20" w:after="20"/>
            </w:pPr>
            <w:r>
              <w:rPr>
                <w:rFonts w:ascii="Times New Roman" w:hAnsi="Times New Roman"/>
                <w:b w:val="0"/>
                <w:i w:val="0"/>
                <w:sz w:val="19"/>
              </w:rPr>
              <w:t>A′+b′+c′</w:t>
            </w:r>
          </w:p>
        </w:tc>
        <w:tc>
          <w:tcPr>
            <w:tcW w:type="dxa" w:w="1560"/>
          </w:tcPr>
          <w:p>
            <w:pPr>
              <w:spacing w:before="20" w:after="20"/>
            </w:pPr>
            <w:r>
              <w:rPr>
                <w:rFonts w:ascii="Times New Roman" w:hAnsi="Times New Roman"/>
                <w:b w:val="0"/>
                <w:i w:val="0"/>
                <w:sz w:val="19"/>
              </w:rPr>
              <w:t>1.0</w:t>
            </w:r>
          </w:p>
        </w:tc>
        <w:tc>
          <w:tcPr>
            <w:tcW w:type="dxa" w:w="1560"/>
          </w:tcPr>
          <w:p>
            <w:pPr>
              <w:spacing w:before="20" w:after="20"/>
            </w:pPr>
            <w:r>
              <w:rPr>
                <w:rFonts w:ascii="Times New Roman" w:hAnsi="Times New Roman"/>
                <w:b w:val="0"/>
                <w:i w:val="0"/>
                <w:sz w:val="19"/>
              </w:rPr>
              <w:t>1 : 0.1</w:t>
            </w:r>
          </w:p>
        </w:tc>
        <w:tc>
          <w:tcPr>
            <w:tcW w:type="dxa" w:w="1560"/>
          </w:tcPr>
          <w:p>
            <w:pPr>
              <w:spacing w:before="20" w:after="20"/>
            </w:pPr>
            <w:r>
              <w:rPr>
                <w:rFonts w:ascii="Times New Roman" w:hAnsi="Times New Roman"/>
                <w:b w:val="0"/>
                <w:i w:val="0"/>
                <w:sz w:val="19"/>
              </w:rPr>
              <w:t>50</w:t>
            </w:r>
          </w:p>
        </w:tc>
        <w:tc>
          <w:tcPr>
            <w:tcW w:type="dxa" w:w="1560"/>
          </w:tcPr>
          <w:p>
            <w:pPr>
              <w:spacing w:before="20" w:after="20"/>
            </w:pPr>
            <w:r>
              <w:rPr>
                <w:rFonts w:ascii="Times New Roman" w:hAnsi="Times New Roman"/>
                <w:b w:val="0"/>
                <w:i w:val="0"/>
                <w:sz w:val="19"/>
              </w:rPr>
              <w:t>4</w:t>
            </w:r>
          </w:p>
        </w:tc>
        <w:tc>
          <w:tcPr>
            <w:tcW w:type="dxa" w:w="1560"/>
          </w:tcPr>
          <w:p>
            <w:pPr>
              <w:spacing w:before="20" w:after="20"/>
            </w:pPr>
            <w:r>
              <w:rPr>
                <w:rFonts w:ascii="Times New Roman" w:hAnsi="Times New Roman"/>
                <w:b w:val="0"/>
                <w:i w:val="0"/>
                <w:sz w:val="19"/>
              </w:rPr>
              <w:t>Full composite</w:t>
            </w:r>
          </w:p>
        </w:tc>
      </w:tr>
    </w:tbl>
    <w:p>
      <w:pPr>
        <w:spacing w:before="200" w:after="80"/>
      </w:pPr>
      <w:r>
        <w:rPr>
          <w:rFonts w:ascii="Times New Roman" w:hAnsi="Times New Roman"/>
          <w:b/>
          <w:i w:val="0"/>
          <w:sz w:val="22"/>
        </w:rPr>
        <w:t>2.2 Pretreatment of the Biomass Backbone and Preparation of Biochar</w:t>
      </w:r>
    </w:p>
    <w:p>
      <w:pPr>
        <w:spacing w:before="160" w:after="80"/>
      </w:pPr>
      <w:r>
        <w:rPr>
          <w:rFonts w:ascii="Times New Roman" w:hAnsi="Times New Roman"/>
          <w:b/>
          <w:i w:val="0"/>
          <w:sz w:val="21"/>
        </w:rPr>
        <w:t>2.2.1 Pretreatment of the biomass backbone</w:t>
      </w:r>
    </w:p>
    <w:p>
      <w:pPr>
        <w:jc w:val="both"/>
      </w:pPr>
      <w:r>
        <w:rPr>
          <w:rFonts w:ascii="Times New Roman" w:hAnsi="Times New Roman"/>
          <w:b w:val="0"/>
          <w:i w:val="0"/>
          <w:sz w:val="21"/>
        </w:rPr>
        <w:t>For the starch route, corn starch (1.0 g) was dispersed in 20.0 mL of deionized water and heated at 65 °C under continuous stirring for 45 min until a transparent, gelatinized paste was obtained. Gelatinization destroys the crystalline regions of the starch granules and exposes the hydroxyl groups along the backbone, which are the sites from which the graft chains are grown. For the alternative CMC route, CMC (1.0 g) was dissolved in 20.0 mL of deionized water at 65 °C for 45 min; CMC is water-soluble and requires no gelatinization, which makes this route operationally simpler. Both backbones share the same grafting chemistry, namely the abstraction of hydrogen from the backbone hydroxyl groups, so the two routes are interchangeable without changing the reaction mechanism.</w:t>
      </w:r>
    </w:p>
    <w:p>
      <w:pPr>
        <w:spacing w:before="160" w:after="80"/>
      </w:pPr>
      <w:r>
        <w:rPr>
          <w:rFonts w:ascii="Times New Roman" w:hAnsi="Times New Roman"/>
          <w:b/>
          <w:i w:val="0"/>
          <w:sz w:val="21"/>
        </w:rPr>
        <w:t>2.2.2 Preparation of biochar</w:t>
      </w:r>
    </w:p>
    <w:p>
      <w:pPr>
        <w:jc w:val="both"/>
      </w:pPr>
      <w:r>
        <w:rPr>
          <w:rFonts w:ascii="Times New Roman" w:hAnsi="Times New Roman"/>
          <w:b w:val="0"/>
          <w:i w:val="0"/>
          <w:sz w:val="21"/>
        </w:rPr>
        <w:t>The corn straw was soaked in deionized water for 24 h to remove impurities and dust and then dried in an oven at 105 °C to constant weight. The dried biomass was placed in a tube furnace, heated to 700 °C at a heating rate of 10 °C/min, and carbonized under a constant nitrogen flow of 30 mL/min for 2 h. After cooling to room temperature under nitrogen, the resulting biochar was ground in a mortar and passed through an 80-mesh sieve, and the fraction below 80 mesh was stored in a sealed bag for further use. The high pyrolysis temperature endows the biochar with a well-developed porous structure and an abundance of surface hydroxyl and carboxyl groups, which serve both as additional grafting sites and as water-absorbing channels in the composite network.</w:t>
      </w:r>
    </w:p>
    <w:p>
      <w:pPr>
        <w:spacing w:before="200" w:after="80"/>
      </w:pPr>
      <w:r>
        <w:rPr>
          <w:rFonts w:ascii="Times New Roman" w:hAnsi="Times New Roman"/>
          <w:b/>
          <w:i w:val="0"/>
          <w:sz w:val="22"/>
        </w:rPr>
        <w:t>2.3 Synthesis of the Bio-based Superabsorbent Polymer (A′)</w:t>
      </w:r>
    </w:p>
    <w:p>
      <w:pPr>
        <w:jc w:val="both"/>
      </w:pPr>
      <w:r>
        <w:rPr>
          <w:rFonts w:ascii="Times New Roman" w:hAnsi="Times New Roman"/>
          <w:b w:val="0"/>
          <w:i w:val="0"/>
          <w:sz w:val="21"/>
        </w:rPr>
        <w:t>The baseline SAP, bio-based graft poly(acrylic acid-co-acrylamide) (bio-based-g-P(AA-co-AAm), denoted A′), was prepared by free-radical graft copolymerization, and the synthesis route is shown in Figure 1. In a beaker, AA was partially neutralized with a NaOH solution to a neutralization degree of about 70%, and AAm was then added to form a homogeneous monomer solution. The pretreated backbone solution prepared in Section 2.2.1 was mixed with the AA/AAm solution, and the mixture was maintained at 70 °C under continuous stirring. Before polymerization, the reaction mixture was ultrasonicated for 10 min and purged with nitrogen for 15 min to remove dissolved oxygen. KPS was then added as the initiator to trigger free-radical polymerization under a nitrogen atmosphere, and MBA was subsequently introduced dropwise as the cross-linking agent under vigorous stirring until gelation occurred. The reaction was maintained at 70 °C for a further 30 min to complete the polymerization.</w:t>
      </w:r>
    </w:p>
    <w:p>
      <w:pPr>
        <w:jc w:val="both"/>
      </w:pPr>
      <w:r>
        <w:rPr>
          <w:rFonts w:ascii="Times New Roman" w:hAnsi="Times New Roman"/>
          <w:b w:val="0"/>
          <w:i w:val="0"/>
          <w:sz w:val="21"/>
        </w:rPr>
        <w:t>The molar ratio of AA : AAm : backbone : MBA : KPS was kept at approximately 1 : 0.1 : 0.036 : 0.0024 : 0.0027. The mechanism of network formation proceeds in three steps. In the initiation step, KPS decomposes on heating to generate sulfate radicals, which abstract hydrogen atoms from the hydroxyl groups of the biomass backbone and thereby create macromolecular radicals. In the propagation step, these macromolecular radicals attack the vinyl monomers AA and AAm, so that the graft chains are extended; grafting takes place predominantly at the C-6 position of the glucose unit. In the termination and cross-linking step, MBA bridges the growing chains into a three-dimensional network. The resulting hydrogel precursor was soaked in absolute ethanol for 5 min to remove unreacted monomers, washed three times with deionized water, dried in an oven at 60 °C (or freeze-dried), pulverized, and passed through standard sieves to obtain SAP particles of controlled size. The dried particles were stored in a desiccator before characterization.</w:t>
      </w:r>
    </w:p>
    <w:p>
      <w:pPr>
        <w:spacing w:before="200" w:after="80"/>
      </w:pPr>
      <w:r>
        <w:rPr>
          <w:rFonts w:ascii="Times New Roman" w:hAnsi="Times New Roman"/>
          <w:b/>
          <w:i w:val="0"/>
          <w:sz w:val="22"/>
        </w:rPr>
        <w:t>2.4 Incorporation of the Slow-release Nitrogen Module (b′)</w:t>
      </w:r>
    </w:p>
    <w:p>
      <w:pPr>
        <w:jc w:val="both"/>
      </w:pPr>
      <w:r>
        <w:rPr>
          <w:rFonts w:ascii="Times New Roman" w:hAnsi="Times New Roman"/>
          <w:b w:val="0"/>
          <w:i w:val="0"/>
          <w:sz w:val="21"/>
        </w:rPr>
        <w:t>The slow-release nitrogen module b′ was introduced by loading urea into the A′ network. Two routes were examined. In the in-situ route, urea was dissolved in the monomer solution and co-polymerized together with the monomers, so that the urea is entrapped within the network as it forms; this route adds almost no extra step because the A′ synthesis is itself a one-pot process. In the impregnation route, the finished and dried A′ particles were immersed in a concentrated urea solution, allowed to equilibrate, and then dried; the urea is thus deposited inside the pores of the network. In both routes, the urea molecules, which carry -NH₂ and -C=O groups, form hydrogen bonds with the -COOH and -CONH₂ groups of the network and are therefore locked inside the three-dimensional structure and released slowly. The urea dosage was varied over 0, 25, 50, and 75 wt% of the backbone in order to locate the optimum that balances water absorption against nitrogen loading; the composite with 50 wt% urea is used as the representative b′ sample unless otherwise stated.</w:t>
      </w:r>
    </w:p>
    <w:p>
      <w:pPr>
        <w:spacing w:before="200" w:after="80"/>
      </w:pPr>
      <w:r>
        <w:rPr>
          <w:rFonts w:ascii="Times New Roman" w:hAnsi="Times New Roman"/>
          <w:b/>
          <w:i w:val="0"/>
          <w:sz w:val="22"/>
        </w:rPr>
        <w:t>2.5 Fabrication of the Biochar-reinforced Composite (c′)</w:t>
      </w:r>
    </w:p>
    <w:p>
      <w:pPr>
        <w:jc w:val="both"/>
      </w:pPr>
      <w:r>
        <w:rPr>
          <w:rFonts w:ascii="Times New Roman" w:hAnsi="Times New Roman"/>
          <w:b w:val="0"/>
          <w:i w:val="0"/>
          <w:sz w:val="21"/>
        </w:rPr>
        <w:t>The biochar module c′ was introduced by dispersing the biochar prepared in Section 2.2.2 into the hydrogel precursor before gelation. A prescribed amount of biochar, corresponding to 0, 2, 4, or 6 wt% of the backbone, was added to the mixed precursor solution, and the mixture was ultrasonicated at 450 W for 10 min to ensure a homogeneous dispersion and to break up agglomerates. MBA (0.15 g) and KPS (0.275 g) were then dissolved in a small volume of deionized water, added to the dispersion, and the resulting mixture was stirred on a magnetic stirrer at 70 °C until gelation, polymerization, and cross-linking were complete, which took about 30 min. After cooling to room temperature, the composite hydrogel was removed from the beaker, cut into pieces, and washed several times with absolute ethanol to remove unreacted monomers and low-molecular-weight polymers. The product was dried in an oven at 45 °C for 2 days and stored in a desiccator. Because the hydroxyl and carboxyl groups on the biochar surface act as additional grafting sites, the biochar becomes chemically embedded in the network rather than simply physically blended, which increases the cross-linking density and reinforces the network skeleton. The composite with 4 wt% biochar is used as the representative c′ sample unless otherwise stated.</w:t>
      </w:r>
    </w:p>
    <w:p>
      <w:pPr>
        <w:spacing w:before="200" w:after="80"/>
      </w:pPr>
      <w:r>
        <w:rPr>
          <w:rFonts w:ascii="Times New Roman" w:hAnsi="Times New Roman"/>
          <w:b/>
          <w:i w:val="0"/>
          <w:sz w:val="22"/>
        </w:rPr>
        <w:t>2.6 Characterization</w:t>
      </w:r>
    </w:p>
    <w:p>
      <w:pPr>
        <w:jc w:val="both"/>
      </w:pPr>
      <w:r>
        <w:rPr>
          <w:rFonts w:ascii="Times New Roman" w:hAnsi="Times New Roman"/>
          <w:b w:val="0"/>
          <w:i w:val="0"/>
          <w:sz w:val="21"/>
        </w:rPr>
        <w:t>The chemical structure of the samples was characterized by Fourier-transform infrared spectroscopy (FTIR, Nicolet iS10, Thermo Fisher, USA). Dried samples were ground with KBr at a mass ratio of 1 : 100 and pressed into transparent pellets, and the spectra were recorded over the wavenumber range of 4000–400 cm⁻¹ at a resolution of 4 cm⁻¹. The crystalline structure was examined by X-ray diffraction (XRD, Rigaku Ultima IV, Japan) with Cu Kα radiation in the 2θ range of 5–80° at a scanning rate of 5°/min. The surface morphology and the internal pore structure of the samples were observed by scanning electron microscopy (SEM, Hitachi, Japan) at an accelerating voltage of 15 kV after gold sputtering. The thermal stability was evaluated by thermogravimetric analysis (TGA, NETZSCH TG 209 F3 Tarsus, Germany) at a heating rate of 10 °C/min over the range of 25–800 °C under a constant nitrogen flow. Elemental analysis was performed with an elemental analyzer (vario MACRO cube, Elementar, Germany) to determine the proportion of key elements in the network. The instruments used are summarized in Table 2.</w:t>
      </w:r>
    </w:p>
    <w:p>
      <w:pPr>
        <w:spacing w:before="120" w:after="160"/>
        <w:jc w:val="left"/>
      </w:pPr>
      <w:r>
        <w:rPr>
          <w:rFonts w:ascii="Times New Roman" w:hAnsi="Times New Roman"/>
          <w:b w:val="0"/>
          <w:i w:val="0"/>
          <w:sz w:val="19"/>
        </w:rPr>
        <w:t>Table 2  Instruments used for the structural and thermal characterization.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before="20" w:after="20"/>
            </w:pPr>
            <w:r>
              <w:rPr>
                <w:rFonts w:ascii="Times New Roman" w:hAnsi="Times New Roman"/>
                <w:b/>
                <w:i w:val="0"/>
                <w:sz w:val="19"/>
              </w:rPr>
              <w:t>Technique</w:t>
            </w:r>
          </w:p>
        </w:tc>
        <w:tc>
          <w:tcPr>
            <w:tcW w:type="dxa" w:w="3120"/>
          </w:tcPr>
          <w:p>
            <w:pPr>
              <w:spacing w:before="20" w:after="20"/>
            </w:pPr>
            <w:r>
              <w:rPr>
                <w:rFonts w:ascii="Times New Roman" w:hAnsi="Times New Roman"/>
                <w:b/>
                <w:i w:val="0"/>
                <w:sz w:val="19"/>
              </w:rPr>
              <w:t>Instrument</w:t>
            </w:r>
          </w:p>
        </w:tc>
        <w:tc>
          <w:tcPr>
            <w:tcW w:type="dxa" w:w="3120"/>
          </w:tcPr>
          <w:p>
            <w:pPr>
              <w:spacing w:before="20" w:after="20"/>
            </w:pPr>
            <w:r>
              <w:rPr>
                <w:rFonts w:ascii="Times New Roman" w:hAnsi="Times New Roman"/>
                <w:b/>
                <w:i w:val="0"/>
                <w:sz w:val="19"/>
              </w:rPr>
              <w:t>Information obtained</w:t>
            </w:r>
          </w:p>
        </w:tc>
      </w:tr>
      <w:tr>
        <w:tc>
          <w:tcPr>
            <w:tcW w:type="dxa" w:w="3120"/>
          </w:tcPr>
          <w:p>
            <w:pPr>
              <w:spacing w:before="20" w:after="20"/>
            </w:pPr>
            <w:r>
              <w:rPr>
                <w:rFonts w:ascii="Times New Roman" w:hAnsi="Times New Roman"/>
                <w:b w:val="0"/>
                <w:i w:val="0"/>
                <w:sz w:val="19"/>
              </w:rPr>
              <w:t>FTIR</w:t>
            </w:r>
          </w:p>
        </w:tc>
        <w:tc>
          <w:tcPr>
            <w:tcW w:type="dxa" w:w="3120"/>
          </w:tcPr>
          <w:p>
            <w:pPr>
              <w:spacing w:before="20" w:after="20"/>
            </w:pPr>
            <w:r>
              <w:rPr>
                <w:rFonts w:ascii="Times New Roman" w:hAnsi="Times New Roman"/>
                <w:b w:val="0"/>
                <w:i w:val="0"/>
                <w:sz w:val="19"/>
              </w:rPr>
              <w:t>Nicolet iS10</w:t>
            </w:r>
          </w:p>
        </w:tc>
        <w:tc>
          <w:tcPr>
            <w:tcW w:type="dxa" w:w="3120"/>
          </w:tcPr>
          <w:p>
            <w:pPr>
              <w:spacing w:before="20" w:after="20"/>
            </w:pPr>
            <w:r>
              <w:rPr>
                <w:rFonts w:ascii="Times New Roman" w:hAnsi="Times New Roman"/>
                <w:b w:val="0"/>
                <w:i w:val="0"/>
                <w:sz w:val="19"/>
              </w:rPr>
              <w:t>Grafting and functional groups</w:t>
            </w:r>
          </w:p>
        </w:tc>
      </w:tr>
      <w:tr>
        <w:tc>
          <w:tcPr>
            <w:tcW w:type="dxa" w:w="3120"/>
          </w:tcPr>
          <w:p>
            <w:pPr>
              <w:spacing w:before="20" w:after="20"/>
            </w:pPr>
            <w:r>
              <w:rPr>
                <w:rFonts w:ascii="Times New Roman" w:hAnsi="Times New Roman"/>
                <w:b w:val="0"/>
                <w:i w:val="0"/>
                <w:sz w:val="19"/>
              </w:rPr>
              <w:t>XRD</w:t>
            </w:r>
          </w:p>
        </w:tc>
        <w:tc>
          <w:tcPr>
            <w:tcW w:type="dxa" w:w="3120"/>
          </w:tcPr>
          <w:p>
            <w:pPr>
              <w:spacing w:before="20" w:after="20"/>
            </w:pPr>
            <w:r>
              <w:rPr>
                <w:rFonts w:ascii="Times New Roman" w:hAnsi="Times New Roman"/>
                <w:b w:val="0"/>
                <w:i w:val="0"/>
                <w:sz w:val="19"/>
              </w:rPr>
              <w:t>Rigaku Ultima IV</w:t>
            </w:r>
          </w:p>
        </w:tc>
        <w:tc>
          <w:tcPr>
            <w:tcW w:type="dxa" w:w="3120"/>
          </w:tcPr>
          <w:p>
            <w:pPr>
              <w:spacing w:before="20" w:after="20"/>
            </w:pPr>
            <w:r>
              <w:rPr>
                <w:rFonts w:ascii="Times New Roman" w:hAnsi="Times New Roman"/>
                <w:b w:val="0"/>
                <w:i w:val="0"/>
                <w:sz w:val="19"/>
              </w:rPr>
              <w:t>Crystallinity / amorphous state</w:t>
            </w:r>
          </w:p>
        </w:tc>
      </w:tr>
      <w:tr>
        <w:tc>
          <w:tcPr>
            <w:tcW w:type="dxa" w:w="3120"/>
          </w:tcPr>
          <w:p>
            <w:pPr>
              <w:spacing w:before="20" w:after="20"/>
            </w:pPr>
            <w:r>
              <w:rPr>
                <w:rFonts w:ascii="Times New Roman" w:hAnsi="Times New Roman"/>
                <w:b w:val="0"/>
                <w:i w:val="0"/>
                <w:sz w:val="19"/>
              </w:rPr>
              <w:t>SEM</w:t>
            </w:r>
          </w:p>
        </w:tc>
        <w:tc>
          <w:tcPr>
            <w:tcW w:type="dxa" w:w="3120"/>
          </w:tcPr>
          <w:p>
            <w:pPr>
              <w:spacing w:before="20" w:after="20"/>
            </w:pPr>
            <w:r>
              <w:rPr>
                <w:rFonts w:ascii="Times New Roman" w:hAnsi="Times New Roman"/>
                <w:b w:val="0"/>
                <w:i w:val="0"/>
                <w:sz w:val="19"/>
              </w:rPr>
              <w:t>Hitachi</w:t>
            </w:r>
          </w:p>
        </w:tc>
        <w:tc>
          <w:tcPr>
            <w:tcW w:type="dxa" w:w="3120"/>
          </w:tcPr>
          <w:p>
            <w:pPr>
              <w:spacing w:before="20" w:after="20"/>
            </w:pPr>
            <w:r>
              <w:rPr>
                <w:rFonts w:ascii="Times New Roman" w:hAnsi="Times New Roman"/>
                <w:b w:val="0"/>
                <w:i w:val="0"/>
                <w:sz w:val="19"/>
              </w:rPr>
              <w:t>Surface morphology and pore structure</w:t>
            </w:r>
          </w:p>
        </w:tc>
      </w:tr>
      <w:tr>
        <w:tc>
          <w:tcPr>
            <w:tcW w:type="dxa" w:w="3120"/>
          </w:tcPr>
          <w:p>
            <w:pPr>
              <w:spacing w:before="20" w:after="20"/>
            </w:pPr>
            <w:r>
              <w:rPr>
                <w:rFonts w:ascii="Times New Roman" w:hAnsi="Times New Roman"/>
                <w:b w:val="0"/>
                <w:i w:val="0"/>
                <w:sz w:val="19"/>
              </w:rPr>
              <w:t>TGA</w:t>
            </w:r>
          </w:p>
        </w:tc>
        <w:tc>
          <w:tcPr>
            <w:tcW w:type="dxa" w:w="3120"/>
          </w:tcPr>
          <w:p>
            <w:pPr>
              <w:spacing w:before="20" w:after="20"/>
            </w:pPr>
            <w:r>
              <w:rPr>
                <w:rFonts w:ascii="Times New Roman" w:hAnsi="Times New Roman"/>
                <w:b w:val="0"/>
                <w:i w:val="0"/>
                <w:sz w:val="19"/>
              </w:rPr>
              <w:t>NETZSCH TG 209 F3</w:t>
            </w:r>
          </w:p>
        </w:tc>
        <w:tc>
          <w:tcPr>
            <w:tcW w:type="dxa" w:w="3120"/>
          </w:tcPr>
          <w:p>
            <w:pPr>
              <w:spacing w:before="20" w:after="20"/>
            </w:pPr>
            <w:r>
              <w:rPr>
                <w:rFonts w:ascii="Times New Roman" w:hAnsi="Times New Roman"/>
                <w:b w:val="0"/>
                <w:i w:val="0"/>
                <w:sz w:val="19"/>
              </w:rPr>
              <w:t>Thermal stability</w:t>
            </w:r>
          </w:p>
        </w:tc>
      </w:tr>
      <w:tr>
        <w:tc>
          <w:tcPr>
            <w:tcW w:type="dxa" w:w="3120"/>
          </w:tcPr>
          <w:p>
            <w:pPr>
              <w:spacing w:before="20" w:after="20"/>
            </w:pPr>
            <w:r>
              <w:rPr>
                <w:rFonts w:ascii="Times New Roman" w:hAnsi="Times New Roman"/>
                <w:b w:val="0"/>
                <w:i w:val="0"/>
                <w:sz w:val="19"/>
              </w:rPr>
              <w:t>Elemental analysis</w:t>
            </w:r>
          </w:p>
        </w:tc>
        <w:tc>
          <w:tcPr>
            <w:tcW w:type="dxa" w:w="3120"/>
          </w:tcPr>
          <w:p>
            <w:pPr>
              <w:spacing w:before="20" w:after="20"/>
            </w:pPr>
            <w:r>
              <w:rPr>
                <w:rFonts w:ascii="Times New Roman" w:hAnsi="Times New Roman"/>
                <w:b w:val="0"/>
                <w:i w:val="0"/>
                <w:sz w:val="19"/>
              </w:rPr>
              <w:t>vario MACRO cube</w:t>
            </w:r>
          </w:p>
        </w:tc>
        <w:tc>
          <w:tcPr>
            <w:tcW w:type="dxa" w:w="3120"/>
          </w:tcPr>
          <w:p>
            <w:pPr>
              <w:spacing w:before="20" w:after="20"/>
            </w:pPr>
            <w:r>
              <w:rPr>
                <w:rFonts w:ascii="Times New Roman" w:hAnsi="Times New Roman"/>
                <w:b w:val="0"/>
                <w:i w:val="0"/>
                <w:sz w:val="19"/>
              </w:rPr>
              <w:t>Elemental composition</w:t>
            </w:r>
          </w:p>
        </w:tc>
      </w:tr>
    </w:tbl>
    <w:p>
      <w:pPr>
        <w:spacing w:before="200" w:after="80"/>
      </w:pPr>
      <w:r>
        <w:rPr>
          <w:rFonts w:ascii="Times New Roman" w:hAnsi="Times New Roman"/>
          <w:b/>
          <w:i w:val="0"/>
          <w:sz w:val="22"/>
        </w:rPr>
        <w:t>2.7 Performance Evaluation</w:t>
      </w:r>
    </w:p>
    <w:p>
      <w:pPr>
        <w:spacing w:before="160" w:after="80"/>
      </w:pPr>
      <w:r>
        <w:rPr>
          <w:rFonts w:ascii="Times New Roman" w:hAnsi="Times New Roman"/>
          <w:b/>
          <w:i w:val="0"/>
          <w:sz w:val="21"/>
        </w:rPr>
        <w:t>2.7.1 Swelling ratio</w:t>
      </w:r>
    </w:p>
    <w:p>
      <w:pPr>
        <w:jc w:val="both"/>
      </w:pPr>
      <w:r>
        <w:rPr>
          <w:rFonts w:ascii="Times New Roman" w:hAnsi="Times New Roman"/>
          <w:b w:val="0"/>
          <w:i w:val="0"/>
          <w:sz w:val="21"/>
        </w:rPr>
        <w:t>The water absorption capacity was measured by the tea-bag method. A dried sample (0.2 g) was enclosed in a 100-mesh tea bag and weighed as md, and the bag was then immersed in an excess of deionized water at room temperature until swelling equilibrium was reached. The bag was removed, allowed to drain for 10 min to remove gravitational water, and weighed as ms. Each measurement was repeated three times, and the swelling ratio (SWR) was calculated according to Equation (1):</w:t>
      </w:r>
    </w:p>
    <w:p>
      <w:pPr>
        <w:tabs>
          <w:tab w:pos="4680" w:val="center"/>
          <w:tab w:pos="9360" w:val="right"/>
        </w:tabs>
        <w:spacing w:before="100" w:after="100"/>
      </w:pPr>
      <w:r>
        <w:tab/>
      </w:r>
      <w:r>
        <w:drawing>
          <wp:inline xmlns:a="http://schemas.openxmlformats.org/drawingml/2006/main" xmlns:pic="http://schemas.openxmlformats.org/drawingml/2006/picture">
            <wp:extent cx="4398264" cy="192024"/>
            <wp:docPr id="1" name="Picture 1"/>
            <wp:cNvGraphicFramePr>
              <a:graphicFrameLocks noChangeAspect="1"/>
            </wp:cNvGraphicFramePr>
            <a:graphic>
              <a:graphicData uri="http://schemas.openxmlformats.org/drawingml/2006/picture">
                <pic:pic>
                  <pic:nvPicPr>
                    <pic:cNvPr id="0" name="7fffc19dc883ab1cc3d841e2f1ad7ec4.png"/>
                    <pic:cNvPicPr/>
                  </pic:nvPicPr>
                  <pic:blipFill>
                    <a:blip r:embed="rId9"/>
                    <a:stretch>
                      <a:fillRect/>
                    </a:stretch>
                  </pic:blipFill>
                  <pic:spPr>
                    <a:xfrm>
                      <a:off x="0" y="0"/>
                      <a:ext cx="4398264" cy="192024"/>
                    </a:xfrm>
                    <a:prstGeom prst="rect"/>
                  </pic:spPr>
                </pic:pic>
              </a:graphicData>
            </a:graphic>
          </wp:inline>
        </w:drawing>
      </w:r>
      <w:r>
        <w:rPr>
          <w:rFonts w:ascii="Times New Roman" w:hAnsi="Times New Roman"/>
          <w:sz w:val="21"/>
        </w:rPr>
        <w:tab/>
        <w:t>(1)</w:t>
      </w:r>
    </w:p>
    <w:p>
      <w:pPr>
        <w:jc w:val="both"/>
      </w:pPr>
      <w:r>
        <w:rPr>
          <w:rFonts w:ascii="Times New Roman" w:hAnsi="Times New Roman"/>
          <w:b w:val="0"/>
          <w:i w:val="0"/>
          <w:sz w:val="21"/>
        </w:rPr>
        <w:t>where md (g) and ms (g) are the masses of the dried and the swollen sample, respectively. The swelling kinetics were further analyzed with the pseudo-second-order model, the choice of which is justified by the fact that the network contains abundant hydrophilic groups and that the swelling process involves not only the physical diffusion of water but also ion exchange and polymer-chain relaxation. The model is expressed as Equation (2):</w:t>
      </w:r>
    </w:p>
    <w:p>
      <w:pPr>
        <w:tabs>
          <w:tab w:pos="4680" w:val="center"/>
          <w:tab w:pos="9360" w:val="right"/>
        </w:tabs>
        <w:spacing w:before="100" w:after="100"/>
      </w:pPr>
      <w:r>
        <w:tab/>
      </w:r>
      <w:r>
        <w:drawing>
          <wp:inline xmlns:a="http://schemas.openxmlformats.org/drawingml/2006/main" xmlns:pic="http://schemas.openxmlformats.org/drawingml/2006/picture">
            <wp:extent cx="3944112" cy="192024"/>
            <wp:docPr id="2" name="Picture 2"/>
            <wp:cNvGraphicFramePr>
              <a:graphicFrameLocks noChangeAspect="1"/>
            </wp:cNvGraphicFramePr>
            <a:graphic>
              <a:graphicData uri="http://schemas.openxmlformats.org/drawingml/2006/picture">
                <pic:pic>
                  <pic:nvPicPr>
                    <pic:cNvPr id="0" name="19d896cec05e03da5d0b2159cb749659.png"/>
                    <pic:cNvPicPr/>
                  </pic:nvPicPr>
                  <pic:blipFill>
                    <a:blip r:embed="rId10"/>
                    <a:stretch>
                      <a:fillRect/>
                    </a:stretch>
                  </pic:blipFill>
                  <pic:spPr>
                    <a:xfrm>
                      <a:off x="0" y="0"/>
                      <a:ext cx="3944112" cy="192024"/>
                    </a:xfrm>
                    <a:prstGeom prst="rect"/>
                  </pic:spPr>
                </pic:pic>
              </a:graphicData>
            </a:graphic>
          </wp:inline>
        </w:drawing>
      </w:r>
      <w:r>
        <w:rPr>
          <w:rFonts w:ascii="Times New Roman" w:hAnsi="Times New Roman"/>
          <w:sz w:val="21"/>
        </w:rPr>
        <w:tab/>
        <w:t>(2)</w:t>
      </w:r>
    </w:p>
    <w:p>
      <w:pPr>
        <w:jc w:val="both"/>
      </w:pPr>
      <w:r>
        <w:rPr>
          <w:rFonts w:ascii="Times New Roman" w:hAnsi="Times New Roman"/>
          <w:b w:val="0"/>
          <w:i w:val="0"/>
          <w:sz w:val="21"/>
        </w:rPr>
        <w:t>where k2 (min⁻¹) is the rate constant and Qt and Qe (g/g) are the water absorption at time t (min) and at equilibrium, respectively. The diffusion behavior was examined with the Ritger–Peppas model, which is written in linear form as Equation (3):</w:t>
      </w:r>
    </w:p>
    <w:p>
      <w:pPr>
        <w:tabs>
          <w:tab w:pos="4680" w:val="center"/>
          <w:tab w:pos="9360" w:val="right"/>
        </w:tabs>
        <w:spacing w:before="100" w:after="100"/>
      </w:pPr>
      <w:r>
        <w:tab/>
      </w:r>
      <w:r>
        <w:drawing>
          <wp:inline xmlns:a="http://schemas.openxmlformats.org/drawingml/2006/main" xmlns:pic="http://schemas.openxmlformats.org/drawingml/2006/picture">
            <wp:extent cx="1472184" cy="192024"/>
            <wp:docPr id="3" name="Picture 3"/>
            <wp:cNvGraphicFramePr>
              <a:graphicFrameLocks noChangeAspect="1"/>
            </wp:cNvGraphicFramePr>
            <a:graphic>
              <a:graphicData uri="http://schemas.openxmlformats.org/drawingml/2006/picture">
                <pic:pic>
                  <pic:nvPicPr>
                    <pic:cNvPr id="0" name="433c9a45d7d8ef400ad6cf15c3214e1d.png"/>
                    <pic:cNvPicPr/>
                  </pic:nvPicPr>
                  <pic:blipFill>
                    <a:blip r:embed="rId11"/>
                    <a:stretch>
                      <a:fillRect/>
                    </a:stretch>
                  </pic:blipFill>
                  <pic:spPr>
                    <a:xfrm>
                      <a:off x="0" y="0"/>
                      <a:ext cx="1472184" cy="192024"/>
                    </a:xfrm>
                    <a:prstGeom prst="rect"/>
                  </pic:spPr>
                </pic:pic>
              </a:graphicData>
            </a:graphic>
          </wp:inline>
        </w:drawing>
      </w:r>
      <w:r>
        <w:rPr>
          <w:rFonts w:ascii="Times New Roman" w:hAnsi="Times New Roman"/>
          <w:sz w:val="21"/>
        </w:rPr>
        <w:tab/>
        <w:t>(3)</w:t>
      </w:r>
    </w:p>
    <w:p>
      <w:pPr>
        <w:jc w:val="both"/>
      </w:pPr>
      <w:r>
        <w:rPr>
          <w:rFonts w:ascii="Times New Roman" w:hAnsi="Times New Roman"/>
          <w:b w:val="0"/>
          <w:i w:val="0"/>
          <w:sz w:val="21"/>
        </w:rPr>
        <w:t>where F = Qt / Qe is the fractional uptake, k is a kinetic constant, and n is the diffusion exponent that indicates the transport mechanism (Fickian, non-Fickian, or anomalous).</w:t>
      </w:r>
    </w:p>
    <w:p>
      <w:pPr>
        <w:spacing w:before="160" w:after="80"/>
      </w:pPr>
      <w:r>
        <w:rPr>
          <w:rFonts w:ascii="Times New Roman" w:hAnsi="Times New Roman"/>
          <w:b/>
          <w:i w:val="0"/>
          <w:sz w:val="21"/>
        </w:rPr>
        <w:t>2.7.2 Salt resistance</w:t>
      </w:r>
    </w:p>
    <w:p>
      <w:pPr>
        <w:jc w:val="both"/>
      </w:pPr>
      <w:r>
        <w:rPr>
          <w:rFonts w:ascii="Times New Roman" w:hAnsi="Times New Roman"/>
          <w:b w:val="0"/>
          <w:i w:val="0"/>
          <w:sz w:val="21"/>
        </w:rPr>
        <w:t>The salt resistance of the samples was evaluated by measuring the swelling ratio in NaCl solutions of 0.09, 0.9, and 9 wt%, following the same procedure as in Section 2.7.1. The salt-resistance retention Rs was calculated according to Equation (4):</w:t>
      </w:r>
    </w:p>
    <w:p>
      <w:pPr>
        <w:tabs>
          <w:tab w:pos="4680" w:val="center"/>
          <w:tab w:pos="9360" w:val="right"/>
        </w:tabs>
        <w:spacing w:before="100" w:after="100"/>
      </w:pPr>
      <w:r>
        <w:tab/>
      </w:r>
      <w:r>
        <w:drawing>
          <wp:inline xmlns:a="http://schemas.openxmlformats.org/drawingml/2006/main" xmlns:pic="http://schemas.openxmlformats.org/drawingml/2006/picture">
            <wp:extent cx="3102864" cy="192024"/>
            <wp:docPr id="4" name="Picture 4"/>
            <wp:cNvGraphicFramePr>
              <a:graphicFrameLocks noChangeAspect="1"/>
            </wp:cNvGraphicFramePr>
            <a:graphic>
              <a:graphicData uri="http://schemas.openxmlformats.org/drawingml/2006/picture">
                <pic:pic>
                  <pic:nvPicPr>
                    <pic:cNvPr id="0" name="3595a24d29be5c4b8aed7cdb98fde6a8.png"/>
                    <pic:cNvPicPr/>
                  </pic:nvPicPr>
                  <pic:blipFill>
                    <a:blip r:embed="rId12"/>
                    <a:stretch>
                      <a:fillRect/>
                    </a:stretch>
                  </pic:blipFill>
                  <pic:spPr>
                    <a:xfrm>
                      <a:off x="0" y="0"/>
                      <a:ext cx="3102864" cy="192024"/>
                    </a:xfrm>
                    <a:prstGeom prst="rect"/>
                  </pic:spPr>
                </pic:pic>
              </a:graphicData>
            </a:graphic>
          </wp:inline>
        </w:drawing>
      </w:r>
      <w:r>
        <w:rPr>
          <w:rFonts w:ascii="Times New Roman" w:hAnsi="Times New Roman"/>
          <w:sz w:val="21"/>
        </w:rPr>
        <w:tab/>
        <w:t>(4)</w:t>
      </w:r>
    </w:p>
    <w:p>
      <w:pPr>
        <w:jc w:val="both"/>
      </w:pPr>
      <w:r>
        <w:rPr>
          <w:rFonts w:ascii="Times New Roman" w:hAnsi="Times New Roman"/>
          <w:b w:val="0"/>
          <w:i w:val="0"/>
          <w:sz w:val="21"/>
        </w:rPr>
        <w:t>where Ws and Wd (g/g) are the equilibrium swelling ratios in the saline solution and in deionized water, respectively. A higher Rs value indicates a stronger tolerance of the network to the Ca²⁺/Mg²⁺-type ionic screening that occurs in the field.</w:t>
      </w:r>
    </w:p>
    <w:p>
      <w:pPr>
        <w:spacing w:before="160" w:after="80"/>
      </w:pPr>
      <w:r>
        <w:rPr>
          <w:rFonts w:ascii="Times New Roman" w:hAnsi="Times New Roman"/>
          <w:b/>
          <w:i w:val="0"/>
          <w:sz w:val="21"/>
        </w:rPr>
        <w:t>2.7.3 Water retention in soil</w:t>
      </w:r>
    </w:p>
    <w:p>
      <w:pPr>
        <w:jc w:val="both"/>
      </w:pPr>
      <w:r>
        <w:rPr>
          <w:rFonts w:ascii="Times New Roman" w:hAnsi="Times New Roman"/>
          <w:b w:val="0"/>
          <w:i w:val="0"/>
          <w:sz w:val="21"/>
        </w:rPr>
        <w:t>The water-holding capacity of the soil treated with the samples was determined as follows. Plastic pots were lined with filter paper at the bottom and filled with 200 g of soil; the sample was added at 2 wt% of the soil and thoroughly mixed, and one pot with no material was used as the control. The initial weight was recorded as W0; water was then slowly added until it began to drip from the bottom, and the pot was re-weighed and recorded as W1. The water-holding capacity (WH) was calculated according to Equation (5):</w:t>
      </w:r>
    </w:p>
    <w:p>
      <w:pPr>
        <w:tabs>
          <w:tab w:pos="4680" w:val="center"/>
          <w:tab w:pos="9360" w:val="right"/>
        </w:tabs>
        <w:spacing w:before="100" w:after="100"/>
      </w:pPr>
      <w:r>
        <w:tab/>
      </w:r>
      <w:r>
        <w:drawing>
          <wp:inline xmlns:a="http://schemas.openxmlformats.org/drawingml/2006/main" xmlns:pic="http://schemas.openxmlformats.org/drawingml/2006/picture">
            <wp:extent cx="4340352" cy="192024"/>
            <wp:docPr id="5" name="Picture 5"/>
            <wp:cNvGraphicFramePr>
              <a:graphicFrameLocks noChangeAspect="1"/>
            </wp:cNvGraphicFramePr>
            <a:graphic>
              <a:graphicData uri="http://schemas.openxmlformats.org/drawingml/2006/picture">
                <pic:pic>
                  <pic:nvPicPr>
                    <pic:cNvPr id="0" name="cce0817d9fbc1def696fba96c70bb875.png"/>
                    <pic:cNvPicPr/>
                  </pic:nvPicPr>
                  <pic:blipFill>
                    <a:blip r:embed="rId13"/>
                    <a:stretch>
                      <a:fillRect/>
                    </a:stretch>
                  </pic:blipFill>
                  <pic:spPr>
                    <a:xfrm>
                      <a:off x="0" y="0"/>
                      <a:ext cx="4340352" cy="192024"/>
                    </a:xfrm>
                    <a:prstGeom prst="rect"/>
                  </pic:spPr>
                </pic:pic>
              </a:graphicData>
            </a:graphic>
          </wp:inline>
        </w:drawing>
      </w:r>
      <w:r>
        <w:rPr>
          <w:rFonts w:ascii="Times New Roman" w:hAnsi="Times New Roman"/>
          <w:sz w:val="21"/>
        </w:rPr>
        <w:tab/>
        <w:t>(5)</w:t>
      </w:r>
    </w:p>
    <w:p>
      <w:pPr>
        <w:jc w:val="both"/>
      </w:pPr>
      <w:r>
        <w:rPr>
          <w:rFonts w:ascii="Times New Roman" w:hAnsi="Times New Roman"/>
          <w:b w:val="0"/>
          <w:i w:val="0"/>
          <w:sz w:val="21"/>
        </w:rPr>
        <w:t>The time-dependent water retention of the soil was measured by mixing the sample with 100 g of dry soil at 2 wt%, adding 100 mL of deionized water, and recording the weight Mi at days 0.5, 1, 2, 3, 4, 7, 13, 19, 24, and 30, with a material-free beaker as the control and three replicates for each sample. The water retention (WR) was calculated according to Equation (6):</w:t>
      </w:r>
    </w:p>
    <w:p>
      <w:pPr>
        <w:tabs>
          <w:tab w:pos="4680" w:val="center"/>
          <w:tab w:pos="9360" w:val="right"/>
        </w:tabs>
        <w:spacing w:before="100" w:after="100"/>
      </w:pPr>
      <w:r>
        <w:tab/>
      </w:r>
      <w:r>
        <w:drawing>
          <wp:inline xmlns:a="http://schemas.openxmlformats.org/drawingml/2006/main" xmlns:pic="http://schemas.openxmlformats.org/drawingml/2006/picture">
            <wp:extent cx="4572000" cy="188752"/>
            <wp:docPr id="6" name="Picture 6"/>
            <wp:cNvGraphicFramePr>
              <a:graphicFrameLocks noChangeAspect="1"/>
            </wp:cNvGraphicFramePr>
            <a:graphic>
              <a:graphicData uri="http://schemas.openxmlformats.org/drawingml/2006/picture">
                <pic:pic>
                  <pic:nvPicPr>
                    <pic:cNvPr id="0" name="da396ead14dfa36a802926b6a24d9339.png"/>
                    <pic:cNvPicPr/>
                  </pic:nvPicPr>
                  <pic:blipFill>
                    <a:blip r:embed="rId14"/>
                    <a:stretch>
                      <a:fillRect/>
                    </a:stretch>
                  </pic:blipFill>
                  <pic:spPr>
                    <a:xfrm>
                      <a:off x="0" y="0"/>
                      <a:ext cx="4572000" cy="188752"/>
                    </a:xfrm>
                    <a:prstGeom prst="rect"/>
                  </pic:spPr>
                </pic:pic>
              </a:graphicData>
            </a:graphic>
          </wp:inline>
        </w:drawing>
      </w:r>
      <w:r>
        <w:rPr>
          <w:rFonts w:ascii="Times New Roman" w:hAnsi="Times New Roman"/>
          <w:sz w:val="21"/>
        </w:rPr>
        <w:tab/>
        <w:t>(6)</w:t>
      </w:r>
    </w:p>
    <w:p>
      <w:pPr>
        <w:jc w:val="both"/>
      </w:pPr>
      <w:r>
        <w:rPr>
          <w:rFonts w:ascii="Times New Roman" w:hAnsi="Times New Roman"/>
          <w:b w:val="0"/>
          <w:i w:val="0"/>
          <w:sz w:val="21"/>
        </w:rPr>
        <w:t>where M0 is the initial weight, M1 is the weight immediately after the addition of water, and Mi is the weight at time i.</w:t>
      </w:r>
    </w:p>
    <w:p>
      <w:pPr>
        <w:spacing w:before="160" w:after="80"/>
      </w:pPr>
      <w:r>
        <w:rPr>
          <w:rFonts w:ascii="Times New Roman" w:hAnsi="Times New Roman"/>
          <w:b/>
          <w:i w:val="0"/>
          <w:sz w:val="21"/>
        </w:rPr>
        <w:t>2.7.4 Slow-release behavior of nitrogen</w:t>
      </w:r>
    </w:p>
    <w:p>
      <w:pPr>
        <w:jc w:val="both"/>
      </w:pPr>
      <w:r>
        <w:rPr>
          <w:rFonts w:ascii="Times New Roman" w:hAnsi="Times New Roman"/>
          <w:b w:val="0"/>
          <w:i w:val="0"/>
          <w:sz w:val="21"/>
        </w:rPr>
        <w:t>The slow release of urea was examined by the water-dissolution method. A dried sample (0.5 g) was placed in a beaker containing 300 mL of deionized water, which served as the release medium, and the beaker was sealed with plastic film to prevent evaporation. A 10-mL aliquot was withdrawn on days 0.5, 1, 3, 4, 7, 13, 19, 24, and 30, and 10 mL of deionized water was added back to keep the volume constant. The solution was stirred with a glass rod for 30 s before each sampling. The urea concentration was determined by the p-dimethylaminobenzaldehyde colorimetric method, in which the absorbance was measured at 440 nm against a standard urea curve. The cumulative release of nitrogen was calculated according to Equation (7):</w:t>
      </w:r>
    </w:p>
    <w:p>
      <w:pPr>
        <w:tabs>
          <w:tab w:pos="4680" w:val="center"/>
          <w:tab w:pos="9360" w:val="right"/>
        </w:tabs>
        <w:spacing w:before="100" w:after="100"/>
      </w:pPr>
      <w:r>
        <w:tab/>
      </w:r>
      <w:r>
        <w:drawing>
          <wp:inline xmlns:a="http://schemas.openxmlformats.org/drawingml/2006/main" xmlns:pic="http://schemas.openxmlformats.org/drawingml/2006/picture">
            <wp:extent cx="3304032" cy="192024"/>
            <wp:docPr id="7" name="Picture 7"/>
            <wp:cNvGraphicFramePr>
              <a:graphicFrameLocks noChangeAspect="1"/>
            </wp:cNvGraphicFramePr>
            <a:graphic>
              <a:graphicData uri="http://schemas.openxmlformats.org/drawingml/2006/picture">
                <pic:pic>
                  <pic:nvPicPr>
                    <pic:cNvPr id="0" name="4dae51f665adb1d9a706ab6e04a9d665.png"/>
                    <pic:cNvPicPr/>
                  </pic:nvPicPr>
                  <pic:blipFill>
                    <a:blip r:embed="rId15"/>
                    <a:stretch>
                      <a:fillRect/>
                    </a:stretch>
                  </pic:blipFill>
                  <pic:spPr>
                    <a:xfrm>
                      <a:off x="0" y="0"/>
                      <a:ext cx="3304032" cy="192024"/>
                    </a:xfrm>
                    <a:prstGeom prst="rect"/>
                  </pic:spPr>
                </pic:pic>
              </a:graphicData>
            </a:graphic>
          </wp:inline>
        </w:drawing>
      </w:r>
      <w:r>
        <w:rPr>
          <w:rFonts w:ascii="Times New Roman" w:hAnsi="Times New Roman"/>
          <w:sz w:val="21"/>
        </w:rPr>
        <w:tab/>
        <w:t>(7)</w:t>
      </w:r>
    </w:p>
    <w:p>
      <w:pPr>
        <w:jc w:val="both"/>
      </w:pPr>
      <w:r>
        <w:rPr>
          <w:rFonts w:ascii="Times New Roman" w:hAnsi="Times New Roman"/>
          <w:b w:val="0"/>
          <w:i w:val="0"/>
          <w:sz w:val="21"/>
        </w:rPr>
        <w:t>where Mt is the amount of urea released at time t and M∞ is the total amount of urea loaded in the sample. In addition, the nitrogen leaching behavior in soil was evaluated in a soil column, in which the sample was mixed with soil in a PVC tube sealed at the bottom with a non-woven mesh, the leachate was collected at fixed intervals, and the nitrogen content of the leachate was measured to obtain the release curve.</w:t>
      </w:r>
    </w:p>
    <w:p>
      <w:pPr>
        <w:spacing w:before="160" w:after="80"/>
      </w:pPr>
      <w:r>
        <w:rPr>
          <w:rFonts w:ascii="Times New Roman" w:hAnsi="Times New Roman"/>
          <w:b/>
          <w:i w:val="0"/>
          <w:sz w:val="21"/>
        </w:rPr>
        <w:t>2.7.5 Mechanical properties</w:t>
      </w:r>
    </w:p>
    <w:p>
      <w:pPr>
        <w:jc w:val="both"/>
      </w:pPr>
      <w:r>
        <w:rPr>
          <w:rFonts w:ascii="Times New Roman" w:hAnsi="Times New Roman"/>
          <w:b w:val="0"/>
          <w:i w:val="0"/>
          <w:sz w:val="21"/>
        </w:rPr>
        <w:t>The mechanical strength of the swollen samples was measured with a compression test. Cylindrical specimens of uniform size were compressed at a constant rate until the samples fractured, and the compressive stress at fracture was recorded as the compressive strength (MPa). The mechanical stability was further evaluated by repeated swelling–drying cycles: each specimen was swollen to equilibrium and then dried to constant weight, and the procedure was repeated five times while the equilibrium swelling ratio was recorded after each cycle.</w:t>
      </w:r>
    </w:p>
    <w:p>
      <w:pPr>
        <w:spacing w:before="160" w:after="80"/>
      </w:pPr>
      <w:r>
        <w:rPr>
          <w:rFonts w:ascii="Times New Roman" w:hAnsi="Times New Roman"/>
          <w:b/>
          <w:i w:val="0"/>
          <w:sz w:val="21"/>
        </w:rPr>
        <w:t>2.7.6 Biodegradability</w:t>
      </w:r>
    </w:p>
    <w:p>
      <w:pPr>
        <w:jc w:val="both"/>
      </w:pPr>
      <w:r>
        <w:rPr>
          <w:rFonts w:ascii="Times New Roman" w:hAnsi="Times New Roman"/>
          <w:b w:val="0"/>
          <w:i w:val="0"/>
          <w:sz w:val="21"/>
        </w:rPr>
        <w:t>The biodegradability of the samples was assessed by a soil-burial method. A known mass of dried sample (mi) was enclosed in a tea bag, and the bag was buried about 5 cm below the surface of the soil. At intervals of 7 days, the bags were retrieved, gently rinsed with deionized water to remove soil particles, and dried at 40 °C to constant weight (mt). The weight loss (WL) was calculated according to Equation (8):</w:t>
      </w:r>
    </w:p>
    <w:p>
      <w:pPr>
        <w:tabs>
          <w:tab w:pos="4680" w:val="center"/>
          <w:tab w:pos="9360" w:val="right"/>
        </w:tabs>
        <w:spacing w:before="100" w:after="100"/>
      </w:pPr>
      <w:r>
        <w:tab/>
      </w:r>
      <w:r>
        <w:drawing>
          <wp:inline xmlns:a="http://schemas.openxmlformats.org/drawingml/2006/main" xmlns:pic="http://schemas.openxmlformats.org/drawingml/2006/picture">
            <wp:extent cx="4172712" cy="192024"/>
            <wp:docPr id="8" name="Picture 8"/>
            <wp:cNvGraphicFramePr>
              <a:graphicFrameLocks noChangeAspect="1"/>
            </wp:cNvGraphicFramePr>
            <a:graphic>
              <a:graphicData uri="http://schemas.openxmlformats.org/drawingml/2006/picture">
                <pic:pic>
                  <pic:nvPicPr>
                    <pic:cNvPr id="0" name="c75983c30bd2a3098838d26da203e2cd.png"/>
                    <pic:cNvPicPr/>
                  </pic:nvPicPr>
                  <pic:blipFill>
                    <a:blip r:embed="rId16"/>
                    <a:stretch>
                      <a:fillRect/>
                    </a:stretch>
                  </pic:blipFill>
                  <pic:spPr>
                    <a:xfrm>
                      <a:off x="0" y="0"/>
                      <a:ext cx="4172712" cy="192024"/>
                    </a:xfrm>
                    <a:prstGeom prst="rect"/>
                  </pic:spPr>
                </pic:pic>
              </a:graphicData>
            </a:graphic>
          </wp:inline>
        </w:drawing>
      </w:r>
      <w:r>
        <w:rPr>
          <w:rFonts w:ascii="Times New Roman" w:hAnsi="Times New Roman"/>
          <w:sz w:val="21"/>
        </w:rPr>
        <w:tab/>
        <w:t>(8)</w:t>
      </w:r>
    </w:p>
    <w:p>
      <w:pPr>
        <w:jc w:val="both"/>
      </w:pPr>
      <w:r>
        <w:rPr>
          <w:rFonts w:ascii="Times New Roman" w:hAnsi="Times New Roman"/>
          <w:b w:val="0"/>
          <w:i w:val="0"/>
          <w:sz w:val="21"/>
        </w:rPr>
        <w:t>where mi and mt (g) are the dry masses of the sample before burial and after degradation, respectively.</w:t>
      </w:r>
    </w:p>
    <w:p>
      <w:pPr>
        <w:spacing w:before="200" w:after="80"/>
      </w:pPr>
      <w:r>
        <w:rPr>
          <w:rFonts w:ascii="Times New Roman" w:hAnsi="Times New Roman"/>
          <w:b/>
          <w:i w:val="0"/>
          <w:sz w:val="22"/>
        </w:rPr>
        <w:t>2.8 Pot Experiment and Statistical Analysis</w:t>
      </w:r>
    </w:p>
    <w:p>
      <w:pPr>
        <w:jc w:val="both"/>
      </w:pPr>
      <w:r>
        <w:rPr>
          <w:rFonts w:ascii="Times New Roman" w:hAnsi="Times New Roman"/>
          <w:b w:val="0"/>
          <w:i w:val="0"/>
          <w:sz w:val="21"/>
        </w:rPr>
        <w:t>The effect of the composite on plant growth under water restriction was evaluated in a pot experiment. The soil was mixed with the sample at 2 wt%, and an equal amount of material-free soil was used as the control; each treatment was replicated six times. One pre-germinated cucumber seedling was transplanted into each pot. The plants were irrigated manually at fixed intervals, and the water supply was stopped at a designated stage of the growth cycle to simulate drought stress. The plant height, survival time, fresh weight, root length, and leaf area were recorded regularly throughout the growth period. The water use efficiency (WUE) was calculated according to Equation (9):</w:t>
      </w:r>
    </w:p>
    <w:p>
      <w:pPr>
        <w:tabs>
          <w:tab w:pos="4680" w:val="center"/>
          <w:tab w:pos="9360" w:val="right"/>
        </w:tabs>
        <w:spacing w:before="100" w:after="100"/>
      </w:pPr>
      <w:r>
        <w:tab/>
      </w:r>
      <w:r>
        <w:drawing>
          <wp:inline xmlns:a="http://schemas.openxmlformats.org/drawingml/2006/main" xmlns:pic="http://schemas.openxmlformats.org/drawingml/2006/picture">
            <wp:extent cx="2389632" cy="192024"/>
            <wp:docPr id="9" name="Picture 9"/>
            <wp:cNvGraphicFramePr>
              <a:graphicFrameLocks noChangeAspect="1"/>
            </wp:cNvGraphicFramePr>
            <a:graphic>
              <a:graphicData uri="http://schemas.openxmlformats.org/drawingml/2006/picture">
                <pic:pic>
                  <pic:nvPicPr>
                    <pic:cNvPr id="0" name="fefdf62d9ff7b213e869c0ca4f1f02a8.png"/>
                    <pic:cNvPicPr/>
                  </pic:nvPicPr>
                  <pic:blipFill>
                    <a:blip r:embed="rId17"/>
                    <a:stretch>
                      <a:fillRect/>
                    </a:stretch>
                  </pic:blipFill>
                  <pic:spPr>
                    <a:xfrm>
                      <a:off x="0" y="0"/>
                      <a:ext cx="2389632" cy="192024"/>
                    </a:xfrm>
                    <a:prstGeom prst="rect"/>
                  </pic:spPr>
                </pic:pic>
              </a:graphicData>
            </a:graphic>
          </wp:inline>
        </w:drawing>
      </w:r>
      <w:r>
        <w:rPr>
          <w:rFonts w:ascii="Times New Roman" w:hAnsi="Times New Roman"/>
          <w:sz w:val="21"/>
        </w:rPr>
        <w:tab/>
        <w:t>(9)</w:t>
      </w:r>
    </w:p>
    <w:p>
      <w:pPr>
        <w:jc w:val="both"/>
      </w:pPr>
      <w:r>
        <w:rPr>
          <w:rFonts w:ascii="Times New Roman" w:hAnsi="Times New Roman"/>
          <w:b w:val="0"/>
          <w:i w:val="0"/>
          <w:sz w:val="21"/>
        </w:rPr>
        <w:t>where B (g) is the above-ground biomass of the plant and WI (L) is the total amount of irrigation water applied. All measurements were performed in triplicate or with six replicates as stated, and the data are expressed as the mean ± standard deviation (SD). The significance of differences between groups was evaluated by one-way analysis of variance (ANOVA) followed by Duncan's multiple-range test, and differences were considered statistically significant at p &lt; 0.05. All charts were processed with Origin 2024 and Office 2019.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