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MF0001/MF0002 回转窑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44"/>
                <w:szCs w:val="44"/>
              </w:rPr>
              <w:t xml:space="preserve">脱硫设施专项现场核查要点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DC3C7"/>
                <w:sz w:val="24"/>
                <w:szCs w:val="24"/>
              </w:rPr>
              <w:t xml:space="preserve">——双碱法工艺 + 自动监测异常深度推演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线索来源：自动监测异常线索（2026-03） + 排污许可合规检查（2026-07）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编制日期：2026-07-18    适用法律：现行有效（至 2026-08-14）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⚖ 法律时效声明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single" w:color="C0392B" w:sz="20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本清单依据截至 2026-07-18 的现行有效法律编制。主要适用：《大气污染防治法》《排污许可管理条例》《污染源自动监控管理办法》（原国家总局令第28号）。
《生态环境法典》于 2026-08-15 正式施行，届时相关法条将全面替换。8月15日后办理的案件，须改引法典条文（第1113-1134条等）。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一、两条线索的综合研判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线索1（2026年3月）：</w:t>
      </w:r>
      <w:r>
        <w:rPr>
          <w:rFonts w:ascii="Arial" w:cs="Arial" w:eastAsia="Arial" w:hAnsi="Arial"/>
          <w:sz w:val="20"/>
          <w:szCs w:val="20"/>
        </w:rPr>
        <w:t xml:space="preserve">自动监测异常——2026年1-2月累计超标18次（颗粒物13次+SO₂1次+NOₓ4次），工况标记18次（停炉8次+启炉10次），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100%关联。</w:t>
      </w:r>
      <w:r>
        <w:rPr>
          <w:rFonts w:ascii="Arial" w:cs="Arial" w:eastAsia="Arial" w:hAnsi="Arial"/>
          <w:sz w:val="20"/>
          <w:szCs w:val="20"/>
        </w:rPr>
        <w:t xml:space="preserve">超标期间涉及工况标记18次。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线索2（2026年7月）：</w:t>
      </w:r>
      <w:r>
        <w:rPr>
          <w:rFonts w:ascii="Arial" w:cs="Arial" w:eastAsia="Arial" w:hAnsi="Arial"/>
          <w:sz w:val="20"/>
          <w:szCs w:val="20"/>
        </w:rPr>
        <w:t xml:space="preserve">排污许可合规检查——MF0001/MF0002回转窑均采用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双碱法脱硫</w:t>
      </w:r>
      <w:r>
        <w:rPr>
          <w:rFonts w:ascii="Arial" w:cs="Arial" w:eastAsia="Arial" w:hAnsi="Arial"/>
          <w:sz w:val="20"/>
          <w:szCs w:val="20"/>
        </w:rPr>
        <w:t xml:space="preserve">，疑似难以稳定达标排放。</w:t>
      </w:r>
    </w:p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1.1 两条线索的真实关系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2"/>
              <w:left w:val="single" w:color="1A5276" w:sz="20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这不是两个独立事件，这是一个链条。
双碱法工艺本身能力不足（线索2）→ 长期运行时脱硫效率不稳定（日常积累）→ 2026年1-2月集中爆发（线索1：超标18次）→ 企业用'工况标记'策略性覆盖（线索1：100%关联）→ 7月核查时发现工艺本身问题（线索2）。
真正的问题在链条上游（工艺选型），真正的问题出口在链条下游（工况标记）。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1.2 工况标记100%关联的三种成因分析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80"/>
        <w:gridCol w:w="2980"/>
      </w:tblGrid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成因类型</w:t>
            </w:r>
          </w:p>
        </w:tc>
        <w:tc>
          <w:tcPr>
            <w:tcW w:type="dxa" w:w="35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技术特征</w:t>
            </w:r>
          </w:p>
        </w:tc>
        <w:tc>
          <w:tcPr>
            <w:tcW w:type="dxa" w:w="29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核查突破口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① 真实工况驱动</w:t>
            </w:r>
          </w:p>
        </w:tc>
        <w:tc>
          <w:tcPr>
            <w:tcW w:type="dxa" w:w="35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超标集中在启停炉前后1-2小时内，正常工况数据平稳</w:t>
            </w:r>
          </w:p>
        </w:tc>
        <w:tc>
          <w:tcPr>
            <w:tcW w:type="dxa" w:w="29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剔除标记时段后，正常工况是否还有超标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② 标记被当作「合规盾牌」</w:t>
            </w:r>
          </w:p>
        </w:tc>
        <w:tc>
          <w:tcPr>
            <w:tcW w:type="dxa" w:w="35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标记时段超过实际启停需要；正常工况下也超标，趁标记期间「合法化」</w:t>
            </w:r>
          </w:p>
        </w:tc>
        <w:tc>
          <w:tcPr>
            <w:tcW w:type="dxa" w:w="29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DCS曲线：标记时长 vs 实际启停时长逐一比对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③ 数据造假（最恶劣）</w:t>
            </w:r>
          </w:p>
        </w:tc>
        <w:tc>
          <w:tcPr>
            <w:tcW w:type="dxa" w:w="35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工况标记真实，但超标数据被人为调节；数采仪参数被设置</w:t>
            </w:r>
          </w:p>
        </w:tc>
        <w:tc>
          <w:tcPr>
            <w:tcW w:type="dxa" w:w="29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标定记录时间轴：超标发生前后是否恰好没有校准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关键判断标准：18次超标中，只要有任何一次发生在'工况稳定运行2小时以后'，成因①就不成立。</w:t>
      </w:r>
    </w:p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1.3 双碱法用于回转窑的本质缺陷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双碱法脱硫的核心缺陷：</w:t>
      </w:r>
      <w:r>
        <w:rPr>
          <w:rFonts w:ascii="Arial" w:cs="Arial" w:eastAsia="Arial" w:hAnsi="Arial"/>
          <w:sz w:val="20"/>
          <w:szCs w:val="20"/>
        </w:rPr>
        <w:t xml:space="preserve">对入口SO₂浓度波动极为敏感，不是一个'稳定的达标工艺'，而是一个'需要高频运维才能勉强达标的工艺'。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运行状态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脱硫效率</w:t>
            </w:r>
          </w:p>
        </w:tc>
        <w:tc>
          <w:tcPr>
            <w:tcW w:type="dxa" w:w="30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出口SO₂表现</w:t>
            </w:r>
          </w:p>
        </w:tc>
      </w:tr>
      <w:tr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药剂充足 + 稳定运行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75-85%</w:t>
            </w:r>
          </w:p>
        </w:tc>
        <w:tc>
          <w:tcPr>
            <w:tcW w:type="dxa" w:w="30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稳定达标</w:t>
            </w:r>
          </w:p>
        </w:tc>
      </w:tr>
      <w:tr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药剂消耗后未及时补充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骤降至30-50%</w:t>
            </w:r>
          </w:p>
        </w:tc>
        <w:tc>
          <w:tcPr>
            <w:tcW w:type="dxa" w:w="30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瞬间超标</w:t>
            </w:r>
          </w:p>
        </w:tc>
      </w:tr>
      <w:tr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喷嘴堵塞/结垢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持续下降至10-20%</w:t>
            </w:r>
          </w:p>
        </w:tc>
        <w:tc>
          <w:tcPr>
            <w:tcW w:type="dxa" w:w="30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长期超标</w:t>
            </w:r>
          </w:p>
        </w:tc>
      </w:tr>
      <w:tr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回转窑原料硫含量突然升高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超出设计能力</w:t>
            </w:r>
          </w:p>
        </w:tc>
        <w:tc>
          <w:tcPr>
            <w:tcW w:type="dxa" w:w="30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溢出式超标（最危险）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双碱法通常适用于入口SO₂浓度 &lt; 2000 mg/m³的场景。危废/化工回转窑的入口SO₂浓度常高达数千至数万mg/m³——这正是工艺适配性的根本疑问所在。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二、现场核查四步推演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2.1 第一步：查链条——从工况标记的'出口'往上游查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核心原则：</w:t>
      </w:r>
      <w:r>
        <w:rPr>
          <w:rFonts w:ascii="Arial" w:cs="Arial" w:eastAsia="Arial" w:hAnsi="Arial"/>
          <w:sz w:val="20"/>
          <w:szCs w:val="20"/>
        </w:rPr>
        <w:t xml:space="preserve">不要先查设备，先查链条。从工况标记的'出口'往上游查，证据链最清晰。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现场第一个动作：</w:t>
      </w:r>
      <w:r>
        <w:rPr>
          <w:rFonts w:ascii="Arial" w:cs="Arial" w:eastAsia="Arial" w:hAnsi="Arial"/>
          <w:sz w:val="20"/>
          <w:szCs w:val="20"/>
        </w:rPr>
        <w:t xml:space="preserve">要求企业提供2026年1月-2月完整DCS历史曲线，在现场实时核查。盯着屏幕做三件事：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30"/>
        <w:gridCol w:w="3130"/>
      </w:tblGrid>
      <w:tr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核查动作</w:t>
            </w:r>
          </w:p>
        </w:tc>
        <w:tc>
          <w:tcPr>
            <w:tcW w:type="dxa" w:w="413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DCS应出现的特征信号</w:t>
            </w:r>
          </w:p>
        </w:tc>
        <w:tc>
          <w:tcPr>
            <w:tcW w:type="dxa" w:w="313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信号缺失意味着什么</w:t>
            </w:r>
          </w:p>
        </w:tc>
      </w:tr>
      <w:tr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核查A：停炉标记真实性</w:t>
            </w:r>
          </w:p>
        </w:tc>
        <w:tc>
          <w:tcPr>
            <w:tcW w:type="dxa" w:w="413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炉膛温度从运行温度持续下降；引风机电流下降；燃料停止供给</w:t>
            </w:r>
          </w:p>
        </w:tc>
        <w:tc>
          <w:tcPr>
            <w:tcW w:type="dxa" w:w="313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DCS无降温曲线 → 标记虚假</w:t>
            </w:r>
          </w:p>
        </w:tc>
      </w:tr>
      <w:tr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核查B：启炉标记真实性</w:t>
            </w:r>
          </w:p>
        </w:tc>
        <w:tc>
          <w:tcPr>
            <w:tcW w:type="dxa" w:w="413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炉膛温度从常温/低温持续上升；引风机电流上升；燃料恢复供给</w:t>
            </w:r>
          </w:p>
        </w:tc>
        <w:tc>
          <w:tcPr>
            <w:tcW w:type="dxa" w:w="313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DCS无升温曲线 → 标记虚假</w:t>
            </w:r>
          </w:p>
        </w:tc>
      </w:tr>
      <w:tr>
        <w:tc>
          <w:tcPr>
            <w:tcW w:type="dxa" w:w="21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核查C：循环泵启停逻辑</w:t>
            </w:r>
          </w:p>
        </w:tc>
        <w:tc>
          <w:tcPr>
            <w:tcW w:type="dxa" w:w="413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脱硫循环泵启停与回转窑启停的联锁记录</w:t>
            </w:r>
          </w:p>
        </w:tc>
        <w:tc>
          <w:tcPr>
            <w:tcW w:type="dxa" w:w="313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回转窑运行但循环泵停 → 设施不正常运行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核心动作：剔除标记时段后，正常工况下是否还有超标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2"/>
              <w:left w:val="single" w:color="1A5276" w:sz="20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这是整个核查的核心动作。如果18次超标全部发生在标记时段，且标记时段与DCS完全吻合——工况标记本身可能是真实的，问题就集中在工艺选型（线索2）。
但如果剔除标记时段后，正常工况还有超标——工况标记就涉嫌被当作'数据保护工具'使用。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2.2 第二步：脱硫塔核查——三组数据同时比对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关键原则：</w:t>
      </w:r>
      <w:r>
        <w:rPr>
          <w:rFonts w:ascii="Arial" w:cs="Arial" w:eastAsia="Arial" w:hAnsi="Arial"/>
          <w:sz w:val="20"/>
          <w:szCs w:val="20"/>
        </w:rPr>
        <w:t xml:space="preserve">不要只看pH值，pH只是最浅层。真正有价值的是三组数据的同时比对。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160"/>
      </w:tblGrid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核查要点</w:t>
            </w:r>
          </w:p>
        </w:tc>
        <w:tc>
          <w:tcPr>
            <w:tcW w:type="dxa" w:w="3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发现异常意味着什么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脱硫浆液pH（实测）</w:t>
            </w:r>
          </w:p>
        </w:tc>
        <w:tc>
          <w:tcPr>
            <w:tcW w:type="dxa" w:w="3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在循环泵出口取样实测，记录读数；与运行记录对比</w:t>
            </w:r>
          </w:p>
        </w:tc>
        <w:tc>
          <w:tcPr>
            <w:tcW w:type="dxa" w:w="3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pH偏低 → 药剂不足；与记录不符 → 记录造假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脱硫塔入口SO₂（便携仪）</w:t>
            </w:r>
          </w:p>
        </w:tc>
        <w:tc>
          <w:tcPr>
            <w:tcW w:type="dxa" w:w="3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与在线监测出口数据同时读数；计算实测脱硫效率</w:t>
            </w:r>
          </w:p>
        </w:tc>
        <w:tc>
          <w:tcPr>
            <w:tcW w:type="dxa" w:w="3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效率低于设计值 → 设施能力不足或低效运行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循环泵电流（钳表实测）</w:t>
            </w:r>
          </w:p>
        </w:tc>
        <w:tc>
          <w:tcPr>
            <w:tcW w:type="dxa" w:w="37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实测运行电流，与运行记录对比</w:t>
            </w:r>
          </w:p>
        </w:tc>
        <w:tc>
          <w:tcPr>
            <w:tcW w:type="dxa" w:w="3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电流偏低 → 泵出力不足；与记录不符 → 记录造假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实测脱硫效率计算公式：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2"/>
              <w:left w:val="single" w:color="F39C12" w:sz="20"/>
              <w:bottom w:val="single" w:color="F39C12" w:sz="4"/>
              <w:right w:val="single" w:color="F39C12" w:sz="4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脱硫效率 =（入口SO₂ - 出口SO₂）/ 入口SO₂ × 100%
双碱法设计效率通常为65-80%。若实测效率只有30-40%，直接证明设施能力不足或严重低效运行。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实用技巧：将实测效率与企业排污许可证执行报告中的'脱硫效率'对比。如果执行报告写的是'脱硫效率75%'，但你实测只有35%——这就是最直接的超标故意认定证据。企业不可能不知道自己的设施效率。</w:t>
      </w:r>
    </w:p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2.3 第三步：在线监测设备——时间轴交叉比对法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制作一张时间轴图：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横轴：2026年1-7月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纵轴叠压5条线：① 超标发生时间（18次） ② 工况标记时间（18次） ③ 在线监测设备校准时间 ④ 手工比对监测时间 ⑤ 脱硫剂采购/投加时间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时间轴比对的典型发现模式：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发现模式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典型含义</w:t>
            </w:r>
          </w:p>
        </w:tc>
        <w:tc>
          <w:tcPr>
            <w:tcW w:type="dxa" w:w="3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证据意义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超标发生前后恰好没有校准记录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刻意制造的'数据空白期'</w:t>
            </w:r>
          </w:p>
        </w:tc>
        <w:tc>
          <w:tcPr>
            <w:tcW w:type="dxa" w:w="3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涉嫌监测数据造假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比对监测报告偏差恰好控制在±10%以内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人为调校在线设备</w:t>
            </w:r>
          </w:p>
        </w:tc>
        <w:tc>
          <w:tcPr>
            <w:tcW w:type="dxa" w:w="3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第三方比对报告可信度低</w:t>
            </w:r>
          </w:p>
        </w:tc>
      </w:tr>
      <w:tr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每次超标后都有一次标定记录（时间倒签）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事后补做标定</w:t>
            </w:r>
          </w:p>
        </w:tc>
        <w:tc>
          <w:tcPr>
            <w:tcW w:type="dxa" w:w="3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标定记录不具有证据效力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具体核查动作：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调取所有标定记录，逐一检查标气钢瓶标签上的有效期截止日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检查是否有'超标发生 → 事后补做标定记录 → 标定时间倒签'模式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检查比对监测报告（手工采样 vs 在线数据），偏差是否刻意控制在±10%以内</w:t>
      </w:r>
    </w:p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2.4 第四步：历史档案——环评/许可证/验收三对照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核心问题：</w:t>
      </w:r>
      <w:r>
        <w:rPr>
          <w:rFonts w:ascii="Arial" w:cs="Arial" w:eastAsia="Arial" w:hAnsi="Arial"/>
          <w:sz w:val="20"/>
          <w:szCs w:val="20"/>
        </w:rPr>
        <w:t xml:space="preserve">为什么当初选了双碱法？查三个历史节点：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历史节点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核查内容</w:t>
            </w:r>
          </w:p>
        </w:tc>
        <w:tc>
          <w:tcPr>
            <w:tcW w:type="dxa" w:w="3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发现的问题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环评报告阶段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环评批复的脱硫工艺认定；环评预测的入口SO₂浓度；双碱法选型依据</w:t>
            </w:r>
          </w:p>
        </w:tc>
        <w:tc>
          <w:tcPr>
            <w:tcW w:type="dxa" w:w="3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环评预测值 vs 实际运行值是否存在显著差异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许可证核发阶段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许可排放量计算基础（环评预测值/设计值/实测值）；许可下达时是否重新核算处理能力</w:t>
            </w:r>
          </w:p>
        </w:tc>
        <w:tc>
          <w:tcPr>
            <w:tcW w:type="dxa" w:w="3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许可工艺与实际能力是否匹配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验收阶段</w:t>
            </w:r>
          </w:p>
        </w:tc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三同时'性能测试报告；测试时的脱硫效率数据；测试条件（入口SO₂浓度）</w:t>
            </w:r>
          </w:p>
        </w:tc>
        <w:tc>
          <w:tcPr>
            <w:tcW w:type="dxa" w:w="3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验收时设施是否达到设计效率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2"/>
              <w:left w:val="single" w:color="D35400" w:sz="20"/>
              <w:bottom w:val="single" w:color="D35400" w:sz="4"/>
              <w:right w:val="single" w:color="D35400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三组数据通常存在逐级放大问题：
环评预测入口SO₂ 800 mg/m³ → 许可证按设计值核算 → 实际运行时原料变化导致入口SO₂ 2000-3000 mg/m³ → 双碱法超出处理能力。
这是系统性工艺失配——企业长期运行中应该发现并向许可机关报告。未报告继续排放，涉嫌'明知能力不足仍继续排放'。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三、现场核查要点清单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3.1 核查前准备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【文件类】提前调取（到达现场前完成）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排污许可证（副本）——重点关注：许可工艺、许可排放量、排放限值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环评批复 + 环评报告书/表（脱硫工艺认定章节）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环保「三同时」验收报告（脱硫设施是否与环评一致）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2026年1-7月自动监测数据全量报告（含工况标记记录）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DCS系统历史曲线（炉膛温度/蒸汽流量/引风机电流/脱硫系统启停信号）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在线监测设备校准记录、标气有效期记录（2026年1-7月）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2026年排污许可执行报告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企业自行监测报告（手工监测比对数据）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脱硫剂（NaOH/石灰）采购入库记录、投加记录（2026年1-7月）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脱硫塔巡检记录（pH值、循环泵电流等运行参数）</w:t>
            </w:r>
          </w:p>
        </w:tc>
      </w:tr>
      <w:tr>
        <w:tc>
          <w:tcPr>
            <w:tcW w:type="dxa" w:w="9360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【设备类】现场携带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执法记录仪（满电、存储卡充足）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便携式烟气分析仪（现场比对在线监测数据）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便携式pH计 + pH试纸（测量脱硫浆液pH）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温枪/红外测温仪（核查炉膛实际温度 vs DCS记录）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钳形电流表（核查循环泵实际电流 vs 运行记录）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照相机（含长焦，拍摄设备铭牌参数）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GPS定位仪（拍摄排放口坐标，核对许可证附件）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个人防护装备（安全帽、防毒面具、反光背心）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3.2 自动监测异常专项核查（线索1）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A区：工况标记真实性核查（100%关联的核心验证）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调取2026年1月1日—2月24日完整DCS历史曲线（不可仅要复印件）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在企业控制室实时查看，逐一核查18次标记的起止时间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逐一核查18次工况标记的DCS特征信号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停炉：炉膛温度持续下降；启炉：炉膛温度持续上升；缺信号即标记虚假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核查启炉/停炉标记时长是否超过实际需要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实际启炉只需3小时，标记了8小时 → 刻意延长标记时段覆盖正常工况超标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剔除标记时段后，单独提取正常工况时段的SO₂/颗粒物/NOₓ数据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若正常工况存在未标记超标 → 涉嫌故意漏标 → 工况标记被当作数据保护工具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核查循环泵启停记录与超标时段的交叉比对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若循环泵停运时段与超标时段高度吻合 → 设施不正常运行</w:t>
            </w:r>
          </w:p>
        </w:tc>
      </w:tr>
      <w:tr>
        <w:tc>
          <w:tcPr>
            <w:tcW w:type="dxa" w:w="9360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B区：在线监测设备合规性核查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检查采样探头是否堵塞/破损（拍照固定）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采样管路是否全程伴热（≥120℃），有无打折/泄漏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调取2026年1-7月全部标定记录，逐一检查标气钢瓶有效期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过期标气 → 该次校准无效 → 对应时段数据合法性存疑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核查标定频次是否符合规范（HJ 355：SO₂每24h自动标定/每周全量程标定）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缺失记录 → 设备运行不规范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制作5条线时间轴（超标/标记/校准/比对/投加）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寻找'数据空白期'模式：超标前后恰好无校准记录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使用便携式烟气分析仪现场比对在线监测数据（同时读数）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偏差超过±15% → 在线监测数据准确性存疑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核查数采仪日志，查看是否存在数据掉线/补录/异常断连记录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补录数据需特别关注：是否有事后人工干预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3.3 排污许可工艺合规性专项核查（线索2）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C区：许可工艺与实际工艺一致性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许可证记载工艺 vs 现场实际工艺 vs 环评批复工艺——三对照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三者一致 → 合规；任一不一致 → 需深入定性（批建不符/批非所建）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环评批复对脱硫工艺的认定是什么？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环评预测的入口SO₂浓度是多少？双碱法选型依据是什么？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许可证核发时，是否重新核算了脱硫设施的处理能力？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许可排放量计算基础：环评预测值 vs 设计值 vs 实测值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「三同时」验收时，脱硫设施是否进行了性能测试？测试效率数据是多少？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性能测试报告中的脱硫效率 vs 实际运行效率</w:t>
            </w:r>
          </w:p>
        </w:tc>
      </w:tr>
      <w:tr>
        <w:tc>
          <w:tcPr>
            <w:tcW w:type="dxa" w:w="9360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D区：双碱法脱硫设施运行状态（最关键）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实测脱硫塔入口SO₂浓度（便携仪） + 出口浓度（在线监测）→ 计算效率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实测效率 vs 设计效率（65-80%）：低于40% → 严重低效运行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在脱硫塔浆液池或循环泵出口取样，现场实测pH值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正常范围8-9；pH &lt; 8 → 药剂不足或循环异常（拍照+记录实测值）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查看NaOH/石灰石料仓存量（拍照），调取2026年1-7月投加记录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与超标时段逐一交叉比对：超标时段投加量偏低 → 设施不正常运行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用钳形电流表实测循环泵运行电流，与运行记录对比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电流偏低 → 泵出力不足；与记录不符 → 台账造假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查看脱硫塔塔壁腐蚀/结垢情况、喷嘴堵塞情况（拍照特写）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结垢厚度超设计允许值 + 运行记录显示'定期清理' → 台账与DCS矛盾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查看脱硫系统与回转窑的联锁逻辑记录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回转窑运行但脱硫系统未同步启动 → 设施不正常运行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四、类案镜鉴（三个最接近的真实案例）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4.1 类案一：某危废焚烧回转窑工况标记造假案（2023年）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情形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双碱法脱硫 + 频繁工况标记 + 长期超标，高度相似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关键突破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调取DCS曲线发现，标记为'停炉'的时段内，炉膛温度从未降至停炉阈值。企业辩称'减产运行'，但DCS显示引风机电流与正常运行无异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认定结论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工况标记虚假，以逃避监管方式定性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法律适用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《大气污染防治法》第108条（篡改监测数据）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处理结果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移送公安，追究刑事责任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本案启示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DCS曲线是工况标记真实性的终极验证。不要只看台账，不要只看标记记录——回到DCS参数。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4.2 类案二：某水泥回转窑在线监测数据造假案（2024年，珠三角）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情形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脱硫工艺选型不当 + 在线监测数据长期稳定在标准限值90-95%，恰好不超过标准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关键突破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开展为期一周的高频手工监测，发现实际排放值显著高于在线监测数据。最终确认在线监测设备被'调试'在标准限值下运行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认定结论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在线监测数据造假，第三方监测机构参与比对，偏差超过±20%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处理结果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第三方监测机构被处罚；涉案企业被责令停产整治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本案启示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工况数据过于'精准稳定'本身就是异常信号。便携仪现场比对是破解之道。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4.3 类案三：某化工回转窑台账造假案（2025年）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情形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工况标记与实际启停时间不符 + 脱硫塔结垢严重但运行记录均为'正常'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关键突破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现场核查脱硫塔时发现喷嘴堵塞、塔壁结垢厚度超设计允许值。企业运行记录显示'定期清理'，但DCS没有清理作业记录。台账与DCS矛盾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认定结论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设施不正常运行 + 台账造假，合并处罚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处理结果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行政处罚，并处限期整改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本案启示</w:t>
            </w:r>
          </w:p>
        </w:tc>
        <w:tc>
          <w:tcPr>
            <w:tcW w:type="dxa" w:w="7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设施运行台账与DCS记录的交叉验证，是发现台账造假的有效手段。两者不一致 → 必有一方造假。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五、败诉风险评估与定性逻辑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5.1 两条败诉路径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败诉路径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企业抗辩点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破解方法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路径一：只查设备不查链条
证据链断裂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仅凭在线监测超标+工况标记直接认定违法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工况标记期间排放符合豁免条件；设施正常运行；数据已如实上传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必须拿出DCS曲线证明标记时段不合理；剔除标记后证明正常工况也有超标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路径二：定性过度
从重认定错误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将'工况标记'直接定性为'监测数据造假'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提交完整DCS曲线证明所有标记均与实际工况吻合 → 定性依据不成立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工况标记本身不违法，违法的是标记时段是否真实。标记真实则问题回到工艺选型和设施效率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single" w:color="C0392B" w:sz="20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正确逻辑：工况标记本身不违法 → 违法的是标记时段是否真实 → 真实则问题回到工艺选型和设施效率。
定性建议：先以'超标排放 + 设施不正常运行'立案（DCS+实测效率）；若确认标记虚假，再加重认定为'篡改监测数据'。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5.2 核查结论的三个层次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200"/>
        <w:gridCol w:w="2200"/>
        <w:gridCol w:w="1060"/>
      </w:tblGrid>
      <w:tr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事实认定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法律定性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证据要求</w:t>
            </w:r>
          </w:p>
        </w:tc>
        <w:tc>
          <w:tcPr>
            <w:tcW w:type="dxa" w:w="10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处置方向</w:t>
            </w:r>
          </w:p>
        </w:tc>
      </w:tr>
      <w:tr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层次一
（最确定）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实测脱硫效率低于设计值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设施低效运行
→ 超标排放
→ 不正常运行防治设施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现场实测pH值+入口/出口SO₂；DCS与台账交叉比对；脱硫塔内部状况照片</w:t>
            </w:r>
          </w:p>
        </w:tc>
        <w:tc>
          <w:tcPr>
            <w:tcW w:type="dxa" w:w="10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行政处罚</w:t>
            </w:r>
          </w:p>
        </w:tc>
      </w:tr>
      <w:tr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层次二
（需要深入）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工况标记时段与DCS参数不完全吻合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标记时段不合理
→ 数据保护工具使用
→ 篡改监测数据（加重）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2026年1-2月完整DCS曲线；启停炉时长与标记时长逐一比对；循环泵启停记录</w:t>
            </w:r>
          </w:p>
        </w:tc>
        <w:tc>
          <w:tcPr>
            <w:tcW w:type="dxa" w:w="10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如确认 → 加重处罚
如无法确认 → 退回层次一</w:t>
            </w:r>
          </w:p>
        </w:tc>
      </w:tr>
      <w:tr>
        <w:tc>
          <w:tcPr>
            <w:tcW w:type="dxa" w:w="1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层次三
（需要判断）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双碱法从一开始就不适合这个回转窑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明知能力不足仍继续排放
→ 主观故意认定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环评/许可证/验收三对照；许可下达时工艺可行性论证；企业是否向许可机关报告</w:t>
            </w:r>
          </w:p>
        </w:tc>
        <w:tc>
          <w:tcPr>
            <w:tcW w:type="dxa" w:w="10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如确认 → 移送公安
（涉嫌环境污染犯罪）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处置逻辑：层次一定性为基础 → 层次二若确认则加重 → 层次三若确认则移送公安。三个层次层层递进，证据支撑到哪层，定性就到哪层。</w:t>
      </w:r>
    </w:p>
    <w:p>
      <w:pPr>
        <w:spacing w:after="0" w:before="100"/>
      </w:pPr>
      <w:r>
        <w:t xml:space="preserve"/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六、现行有效法律依据速查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发现的异常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涉嫌违法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现行有效法律依据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双碱法设施不正常运行（pH低/药剂不足/循环泵停）导致超标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超标排放 + 不正常运行防治污染设施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《大气污染防治法》第99条（超标排放）+ 第108条（不正常运行）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工况标记时段与DCS实际不符（虚标）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篡改监测数据（不正常运行防治设施的特殊形态）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《大气污染防治法》第108条；《污染源自动监控管理办法》第18条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工况标记100%覆盖所有超标，正常工况数据刻意不标记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故意遗漏监测数据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《大气污染防治法》第108条（篡改）；HJ 355规范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许可证工艺与实际工艺不符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未按排污许可证规定运行污染防治设施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《排污许可管理条例》第17条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在线监测设备未按频次校准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污染源自动监控设施运行不规范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HJ 355规范（技术规范）；《污染源自动监控管理办法》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超标后未按1小时报告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未履行自动监测异常报告义务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《大气污染防治法》第24条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超标18次，逾期未改正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拒不改正 → 按日连续处罚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《行政处罚法》第72条；《大气污染防治法》第99条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七、现场核查操作时间轴（建议）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00"/>
        <w:gridCol w:w="2360"/>
      </w:tblGrid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核查内容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注意事项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出发前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出发前完成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调取DCS数据下载权限；便携仪充电；文件准备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不要通知企业具体查什么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第一次现场（侦察）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2-4小时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收集DCS曲线（只看不带走）；脱硫塔现场实测（pH/入口SO₂/循环泵电流）；在线监测设备外观检查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侦察性质，不要亮底牌；让企业看到你在做什么但不完全理解你在查什么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回单位分析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1-2天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分析DCS曲线；计算实测脱硫效率；制作5条线时间轴；制定第二次现场精准打击方案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形成完整证据链判断；确定是否需要第二次现场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第二次现场（收网）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2-3小时</w:t>
            </w:r>
          </w:p>
        </w:tc>
        <w:tc>
          <w:tcPr>
            <w:tcW w:type="dxa" w:w="3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精准锁定问题环节；固化关键证据；制作现场检查笔录；企业签字确认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带着分析结论来；直接针对已发现的问题点；注意程序合规（2人以上、出示证件、权利告知）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核心原则：第一次去是侦察，不是收网。很多人第一次检查时就让企业知道你在查什么——企业会立刻补齐台账、补充药剂、修改DCS记录。</w:t>
      </w:r>
    </w:p>
    <w:p>
      <w:pPr>
        <w:spacing w:after="0" w:before="100"/>
      </w:pPr>
      <w:r>
        <w:t xml:space="preserve"/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八、证据固定清单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8.1 照片/视频证据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【在线监测类】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在线监测站房全景（含设备铭牌参数）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采样探头安装位置照片（含参照物，显示与排放口的距离）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伴热管线完整路径（检查有无打折/泄漏）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数采仪屏幕数据（当场打印/拍照，显示时间戳）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便携式烟气分析仪比对读数（与在线监测同时读数，照片中两者同框）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DCS曲线屏幕截图（超标时段 + 工况标记时段，显示完整时间轴）</w:t>
            </w:r>
          </w:p>
        </w:tc>
      </w:tr>
      <w:tr>
        <w:tc>
          <w:tcPr>
            <w:tcW w:type="dxa" w:w="9360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【脱硫设施类】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脱硫塔外观 + 铭牌参数（处理能力/设计效率）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脱硫浆液取样照片 + pH计读数（特写，显示实测值）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循环泵铭牌 + 电流实测值（钳表读数照片）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脱硫剂料仓存量（标注库存量，拍照）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喷嘴堵塞/塔壁结垢情况（特写，多角度）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脱硫塔内部检查（如进入受限空间，须做好安全防护并记录）</w:t>
            </w:r>
          </w:p>
        </w:tc>
      </w:tr>
      <w:tr>
        <w:tc>
          <w:tcPr>
            <w:tcW w:type="dxa" w:w="9360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【台账记录类】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脱硫剂投加记录（2026年1-7月原件或盖章件）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脱硫塔巡检记录（pH值/循环泵电流等运行参数）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工况标记审批记录（谁标记、谁批准）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标定校准记录（原件，标气钢瓶标签照片）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企业提供的台账/记录文件（现场核对后拍照，注意骑缝章）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8.2 笔录要点（现场检查笔录）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【笔录必须记录的内容】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检查时间、地点、天气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精确到分钟；天气影响采样条件需说明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执法人员信息 + 出示证件情况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≥2名执法人员，记录证件编号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企业陪同人员信息 + 职务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企业负责人或环保负责人签字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18次超标时段逐一记录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时间/污染物/超标倍数/DCS标记类型，逐一对应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工况标记合理性判断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启炉/停炉时长 vs DCS实际曲线的比对结论（当场得出）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脱硫设施运行参数实测记录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pH值/循环泵电流/脱硫效率（现场计算并记录）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企业人员对超标原因的解释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逐字记录，不加工、不概括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现场发现的异常情况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设备故障/药剂不足/数据不一致，逐一列明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企业负责人签字确认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逐页签字 + 骑缝签字；拒绝签字注明原因 + 见证人签字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笔录现场性原则：现场制作的笔录必须现场完成，不得回到单位后补做。每次修改处须企业人员签字或盖章确认。</w:t>
      </w:r>
    </w:p>
    <w:p>
      <w:pPr>
        <w:spacing w:after="0" w:before="100"/>
      </w:pPr>
      <w:r>
        <w:t xml:space="preserve"/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九、核查结论框架（模板）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2"/>
              <w:left w:val="single" w:color="1A5276" w:sz="20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【MF0001/MF0002回转窑脱硫设施专项核查报告】
一、基本情况
企业名称：______ | 回转窑编号：MF0001/MF0002
许可工艺：双碱法脱硫 | 许可排放量：______ t/a
超标历史：2026年1-2月累计超标18次（颗粒物13+SO₂1+NOₓ4）
二、核查发现
（一）手续合规性
□ 排污许可证与环评批复一致  □ 存在批小建大/批非所建
□ 许可工艺与实际不符（许可证：______  实际：______）
（二）设施运行状态
□ 双碱法药剂补充正常  □ 存在药剂断供/循环泵停运
□ pH值持续偏低（实测：______，正常≥8）  □ 脱硫塔存在腐蚀/堵塞
□ 脱硫效率（实测）：______%（设计：______%）
（三）自动监测数据
□ 工况标记合理（启炉/停炉时长与DCS一致）
□ 工况标记存在虚标（标记时长 &gt; DCS实际时长，差：______h）
□ 正常工况存在未标记超标：______次
□ 在线监测数据与比对监测偏差≤±15% / 偏差&gt;±15%（实测：______%）
（四）在线监测设备
□ 校准记录完整（2026年1-7月）  □ 标气在有效期内
□ 存在未按频次校准情形（缺失：______次）
三、涉嫌违法行为
1. _________ — 依据：《大气污染防治法》第____条（现行有效）
2. _________ — 依据：《排污许可管理条例》第____条
四、处置建议
□ 立案调查  □ 责令限期整改  □ 责令限制生产/停产整治
□ 按日连续处罚（如拒不改正）  □ 移送公安（涉嫌犯罪）
□ 向许可核发机关反馈许可证工艺问题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十、附件：关键数据当场比对表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1200"/>
        <w:gridCol w:w="1160"/>
      </w:tblGrid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比对项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在线监测数据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便携仪实测/DCS数据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偏差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SO₂出口浓度（mg/m³）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±______%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≤±15%正常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脱硫效率（%）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（执行报告记载）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（现场计算）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差______%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设计65-80%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工况标记启炉时长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标记：______h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DCS：______h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差：______h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&gt;0存疑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工况标记停炉时长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标记：______h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DCS：______h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差：______h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&gt;0存疑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循环泵电流（A）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记录：______A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实测：______A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差：______A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&gt;0存疑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脱硫浆液pH值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记录：______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实测：______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差：______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&lt;8异常</w:t>
            </w:r>
          </w:p>
        </w:tc>
      </w:tr>
      <w:tr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标气有效期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有效期至：______</w:t>
            </w:r>
          </w:p>
        </w:tc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当前：______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是否过期</w:t>
            </w:r>
          </w:p>
        </w:tc>
        <w:tc>
          <w:tcPr>
            <w:tcW w:type="dxa" w:w="1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过期禁用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十一、现场执法注意事项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程序合规（最容易导致败诉的程序问题）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9360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【必查项】程序合规性检查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执法人员≥2人，出示执法证件（记录证件编号）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单人执法 → 程序违法 → 证据效力存疑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现场检查笔录须现场制作完成，不得回单位后补做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事后补做 → 程序违法 → 证据效力存疑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每一次修改处须企业人员签字确认（骑缝签字）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涂改处无签字 → 真实性存疑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现场检查笔录须当事人逐页签字，拒绝签字注明原因+见证人签字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拒绝签字处理不规范 → 送达效力存疑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照片/视频证据须显示时间戳（执法记录仪自动生成）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无时间戳 → 证据关联性存疑</w:t>
            </w:r>
          </w:p>
        </w:tc>
      </w:tr>
      <w:tr>
        <w:tc>
          <w:tcPr>
            <w:tcW w:type="dxa" w:w="7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采样须当事人或见证人在场并签字确认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无见证人 → 采样程序合法性存疑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特别提示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提示事项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法典衔接倒计时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2026年8月15日《生态环境法典》施行，本案8月15日前结案适用现行法；8月15日后改引法典第1113-1134条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追责期限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超标排放：2年（无危害后果）/ 5年（有危害后果）。2026年1-7月违法行为仍在追责期内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按日连续处罚条件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超标18次 + 责令限期改正后仍超标 → 满足按日连续处罚条件。重点关注：责令改正通知书是否已送达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移送公安条件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实测超标3倍以上（重金属）：移送公安。本案SO₂/颗粒物/NOₓ需结合排放标准计算是否达到3倍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BDC3C7" w:sz="6"/>
        </w:pBd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本清单依据截至2026-07-18的现行有效法律编制，仅供参考，不替代正式行政程序。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——《生态环境执法督察评查专家》v5.0  2026-07-18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spacing w:after="0" w:before="80"/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第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页 / 共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/>
      </w:pBdr>
      <w:spacing w:after="80" w:before="0"/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MF0001/MF0002回转窑脱硫设施专项现场核查要点  |  2026-07-18  |  现行有效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spacing w:after="40" w:before="40"/>
        <w:ind w:left="480" w:hanging="280"/>
      </w:pPr>
      <w:rPr>
        <w:rFonts w:ascii="Arial" w:cs="Arial" w:eastAsia="Arial" w:hAnsi="Arial"/>
        <w:color w:val="1A5276"/>
        <w:sz w:val="20"/>
        <w:szCs w:val="20"/>
      </w:rPr>
    </w:lvl>
    <w:lvl w:ilvl="1" w15:tentative="1">
      <w:start w:val="1"/>
      <w:numFmt w:val="bullet"/>
      <w:lvlText w:val="○"/>
      <w:lvlJc w:val="left"/>
      <w:pPr>
        <w:spacing w:after="30" w:before="30"/>
        <w:ind w:left="900" w:hanging="280"/>
      </w:pPr>
      <w:rPr>
        <w:rFonts w:ascii="Arial" w:cs="Arial" w:eastAsia="Arial" w:hAnsi="Arial"/>
        <w:color w:val="D35400"/>
        <w:sz w:val="18"/>
        <w:szCs w:val="18"/>
      </w:rPr>
    </w:lvl>
    <w:lvl w:ilvl="2" w15:tentative="1">
      <w:start w:val="1"/>
      <w:numFmt w:val="bullet"/>
      <w:lvlText w:val="■"/>
      <w:lvlJc w:val="left"/>
      <w:pPr>
        <w:spacing w:after="30" w:before="30"/>
        <w:ind w:left="1320" w:hanging="280"/>
      </w:pPr>
      <w:rPr>
        <w:rFonts w:ascii="Arial" w:cs="Arial" w:eastAsia="Arial" w:hAnsi="Arial"/>
        <w:color w:val="1E8449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480" w:hanging="28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decimal"/>
      <w:lvlText w:val="%1.%2."/>
      <w:lvlJc w:val="left"/>
      <w:pPr>
        <w:spacing w:after="30" w:before="30"/>
        <w:ind w:left="900" w:hanging="320"/>
      </w:pPr>
      <w:rPr>
        <w:rFonts w:ascii="Arial" w:cs="Arial" w:eastAsia="Arial" w:hAnsi="Arial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A5276" w:val="clear"/>
      <w:spacing w:after="160" w:before="240"/>
      <w:ind w:left="200" w:right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hd w:fill="1A5276" w:val="clear"/>
      <w:spacing w:after="120" w:before="200"/>
      <w:ind w:left="160" w:right="16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bottom w:val="single" w:color="D35400" w:sz="4"/>
      </w:pBdr>
      <w:spacing w:after="80" w:before="160"/>
      <w:outlineLvl w:val="2"/>
    </w:pPr>
    <w:rPr>
      <w:rFonts w:ascii="Arial" w:cs="Arial" w:eastAsia="Arial" w:hAnsi="Arial"/>
      <w:b/>
      <w:bCs/>
      <w:color w:val="D354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2026-07-18T01:23:38.281Z</dcterms:created>
  <dcterms:modified xsi:type="dcterms:W3CDTF">2026-07-18T01:23:38.282Z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