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GDF15 in Aging and Metabolism: Molecular Mechanisms, Biomarker Utility, and Therapeutic Frontiers</w:t>
      </w:r>
    </w:p>
    <w:p>
      <w:r>
        <w:rPr>
          <w:i/>
        </w:rPr>
        <w:t>Drafted with Agent Hub (minimax-cn/MiniMax-M3); references retrieved from PubMed; peer-reviewed by three Agent Hub reviewer subagents and revised.</w:t>
      </w:r>
    </w:p>
    <w:p>
      <w:pPr>
        <w:pStyle w:val="Heading1"/>
      </w:pPr>
      <w:r>
        <w:t>Abstract</w:t>
      </w:r>
    </w:p>
    <w:p>
      <w:r>
        <w:t>Growth differentiation factor 15 (GDF15) has emerged as a stress-inducible cytokine that sits at the intersection of aging biology and metabolic regulation. Expressed at low levels in healthy tissue but upregulated by mitochondrial dysfunction, endoplasmic reticulum stress, inflammation, and oncogenic transformation, GDF15 circulates as a disulfide-linked dimer whose concentrations rise by orders of magnitude with chronological age, cellular senescence, and a wide spectrum of acute and chronic diseases. The identification of GFRAL, an orphan GDNF-family receptor expressed in area postrema and nucleus of the solitary tract neurons, together with the RET co-receptor, has provided a mechanistic framework for GDF15-induced anorexia, nausea, and metabolic remodeling—effects that operate largely independently of classical leptin, ghrelin, and GLP-1 pathways. Pharmacological and physiological interventions that improve metabolic health, including metformin, exercise, and bariatric surgery, paradoxically elevate GDF15, while exogenous GDF15 lowers adiposity and improves glucose tolerance in obese rodents via sympathetic and β-adrenergic relays. Yet the same molecule is implicated in cancer cachexia, cardiac cachexia, and chronic disease-associated anorexia, where circulating levels correlate with mortality. Resolving this 'friend or foe' paradox requires a context-dependent framework that considers magnitude, duration, tissue source, and receptor context, including documented GFRAL-independent effects. This review critically evaluates GDF15 as a biomarker across cardiovascular, renal, oncologic, and metabolic disease, examines the expanding therapeutic landscape of GFRAL agonists and GDF15-neutralizing antibodies, and identifies key gaps in species conservation, circuit mapping, and human causal genetics that must be addressed before clinical translation.</w:t>
      </w:r>
    </w:p>
    <w:p>
      <w:r>
        <w:rPr>
          <w:b/>
        </w:rPr>
        <w:t xml:space="preserve">Keywords: </w:t>
      </w:r>
      <w:r>
        <w:t>GDF15; GFRAL; cachexia; metabolic regulation; biomarker; aging</w:t>
      </w:r>
    </w:p>
    <w:p>
      <w:pPr>
        <w:pStyle w:val="Heading1"/>
      </w:pPr>
      <w:r>
        <w:t>1. Introduction and Scope</w:t>
      </w:r>
    </w:p>
    <w:p>
      <w:r>
        <w:t>Growth differentiation factor 15 (GDF15) has emerged over the past decade from relative obscurity as a divergent member of the transforming growth factor-β superfamily to a molecule that sits at a remarkable intersection of stress biology, aging, and metabolic regulation. Its expression is induced by a wide spectrum of cellular perturbations—mitochondrial dysfunction [1], endoplasmic reticulum stress, inflammatory cytokines, oxidative injury, and oncogenic transformation—and its circulating concentrations rise with chronological age, cellular senescence [2], frailty, and an expanding list of acute and chronic diseases [3, 4]. The discovery that the orphan receptor GFRAL, expressed exclusively within the resolution of current assays in neurons of the area postrema—a circumventricular organ that contacts circulating ligands outside the blood–brain barrier—and the nucleus of the solitary tract in the hindbrain, serves as the high-affinity binding partner for GDF15 and signals through the RET co-receptor provided a coherent mechanistic framework for the anorexia, weight loss, nausea, and metabolic remodeling that accompany states of elevated GDF15 in vivo [5, 6, 7]. GDF15 circulates as a 25-kDa dimer at concentrations varying by orders of magnitude across physiological and pathological states [7]. Subsequent work has shown that this hindbrain circuit can reduce food intake and body mass largely independently of leptin, ghrelin, and glucagon-like peptide-1 [3, 4], positioning the GDF15–GFRAL axis as a parallel branch of the body's energy homeostasis apparatus rather than a peripheral curiosity.</w:t>
      </w:r>
    </w:p>
    <w:p>
      <w:r>
        <w:t>A striking pharmacological observation has sharpened the appeal of GDF15 as a unifying biological signal: drugs and behaviors that broadly improve metabolic health—including metformin and exercise—robustly increase circulating GDF15 in rodents and humans [3]. Bariatric surgery also elevates GDF15 acutely after Roux-en-Y gastric bypass [8, 9], although the trajectory is heterogeneous across procedures and glycaemic status [10]. In obese and insulin-resistant rodents, exogenous GDF15 lowers adiposity and improves glucose tolerance, with sympathetic relays from hindbrain GFRAL neurons enhancing insulin-stimulated glucose disposal in white and brown adipose tissue and suppressing hepatic glucose production via β-adrenergic signaling—effects that can be dissociated from weight loss itself [11]. In a cross-sectional cohort of community-dwelling older adults free of established diabetes or cardiovascular disease, metabolic syndrome was associated with serum GDF15 approximately 9.3% higher than in counterparts without the syndrome, with low HDL-cholesterol, abdominal obesity, and elevated fasting glucose identified as the strongest individual component contributors [12]. Together these findings position GDF15 as a candidate effector—or at minimum a faithful integrator—of beneficial metabolic adaptation, although the available evidence is largely correlational and does not by itself establish causation.</w:t>
      </w:r>
    </w:p>
    <w:p>
      <w:r>
        <w:t>At the same time, a deeply uncomfortable paradox dominates the clinical literature. In advanced cancer, chronic heart failure, renal failure, and other inflammatory states, circulating GDF15 can rise ten- to one-hundred-fold [4], and these elevations consistently correlate with anorexia, lean mass loss, disease severity, and mortality [4, 13]. In inflammatory bowel disease, by contrast, GDF15 tracks systemic inflammation and gut permeability rather than overt cachexia [14]. Experimental models confirm that neutralizing GDF15 in tumor-bearing mice restores muscle mass and physical performance [15], and that blocking GDF15 in a murine PPP1R15A-driven model of heart failure prevents cardiac cachexia and slows disease progression [16]. The same molecule that appears to mediate the metabolic benefits of metformin is also a candidate driver of lethal cachexia. Whether GDF15 is a faithful reporter of underlying tissue stress, a maladaptive contributor to disease progression, or both—depending on context, magnitude, and chronicity—remains unresolved, and this uncertainty has direct consequences for how the field should interpret biomarker data and design therapeutic interventions.</w:t>
      </w:r>
    </w:p>
    <w:p>
      <w:r>
        <w:t>A further complication is that the anorexia induced by GDF15 is not homeostatic satiety but is mediated by nausea and emetic neurocircuitry. In Suncus murinus and in non-emetic species, GDF15 produces pica and contributes to chemotherapy- and pregnancy-associated malaise [5, 17, 18]. This aversive quality has clear implications for the therapeutic window of GFRAL agonism in obesity and frames GDF15 elevations in hyperemesis gravidarum, in which maternal sensitivity to placental GDF15 and pre-pregnancy GDF15 exposure both shape risk [18].</w:t>
      </w:r>
    </w:p>
    <w:p>
      <w:r>
        <w:t>This review synthesizes current knowledge of GDF15 biology with the goal of moving beyond the reductive question of whether the cytokine is "friend or foe" and toward a more nuanced framework in which magnitude, duration, tissue source, and receptor context dictate its net effect on the host. We critically examine the evidence for GDF15 as a biomarker across cardiovascular, renal, oncologic, and metabolic disease, evaluate the rapidly expanding therapeutic landscape of neutralizing antibodies, agonists, and small molecules [3], and consider what the available data do—and do not—show. Several limitations of the existing literature warrant emphasis at the outset. Most mechanistic insights derive from rodent models in which GDF15 is manipulated acutely or via germline knockouts that may not recapitulate the chronic, low-grade elevations seen in aging humans; cross-species conservation is supported for GFRAL localization in mice, humans, and obese nonhuman primates [7], but GFRAL-RET dependence has been formally demonstrated only in mice. Human genetic data supporting a causal role for GFRAL variants in obesity remain modest [3]. Non-GFRAL signaling pathways are increasingly documented, with direct epithelial actions on intestinal barrier integrity [14] and GFRAL-independent suppression of glucagon [11] establishing that "central initiation" and "peripheral effect" are not mutually exclusive. The second-order neural substrates that link AP/NTS GFRAL neurons to hypothalamic and limbic feeding circuits—parabrachial nucleus, central amygdala, PVH, ARC—remain poorly defined in the published GDF15 literature and constitute a notable gap. Distinguishing GDF15 as a biomarker from GDF15 as a therapeutic target will therefore require more than associative epidemiology—it will demand interventional studies that establish whether lowering GDF15 in specific disease contexts improves outcomes that matter to patients, rather than merely normalizing a convenient laboratory readout.</w:t>
      </w:r>
    </w:p>
    <w:p>
      <w:pPr>
        <w:pStyle w:val="Heading1"/>
      </w:pPr>
      <w:r>
        <w:t>2. GDF15 Biology, Structure, and TGF-β Superfamily Context</w:t>
      </w:r>
    </w:p>
    <w:p>
      <w:r>
        <w:t>Growth differentiation factor 15 (GDF15) occupies an unusual position within the transforming growth factor-β (TGF-β) superfamily. Originally identified as macrophage inhibitory cytokine-1 (MIC-1), GDF15 is classified as a distant, divergent member, consistent with limited homology to canonical ligands such as TGF-β1, activins, or bone morphogenetic proteins [6, 7]. This phylogenetic distance predicts, and now explains, the ligand's distinctive receptor usage and downstream signaling logic, which diverges from the classical type I/type II serine/threonine kinase paradigm shared by most superfamily members [6, 7]. Framing GDF15 as simply "another TGF-β family member" risks importing assumptions about receptor identity and SMAD-mediated transcription that the evidence does not unambiguously support.</w:t>
      </w:r>
    </w:p>
    <w:p>
      <w:r>
        <w:t>GDF15 circulates as a ~25 kDa dimer [7], consistent with the precursor-pro-protein/mature-domain architecture shared by other TGF-β superfamily ligands. The receptor-identification studies demonstrated specific high-affinity binding of GDF15 to GFRAL, consistent with a receptor-engagement surface distinct from those of activins or BMPs [6, 7]. The pro-region appears dispensable for receptor activation; its contribution to stability and circulating half-life has not been formally defined by the cited evidence.</w:t>
      </w:r>
    </w:p>
    <w:p>
      <w:r>
        <w:t>A second defining feature is stress-inducible expression. Whereas many TGF-β superfamily ligands are constitutively expressed in a tissue-restricted manner, GDF15 is generally expressed at low levels in healthy tissue but is rapidly upregulated by cellular stress, including endoplasmic reticulum stress and AMPK-mediated energetic stress [19], and more broadly cellular stress and disease states including cancer [3, 4]. Circulating concentrations rise substantially, often by 10- to 100-fold, across a spectrum of acute and chronic disease states, most strikingly in advanced cancer [4]. Because so many inducers converge on GDF15, circulating levels are best regarded as a generic marker of systemic stress rather than a disease-specific signal.</w:t>
      </w:r>
    </w:p>
    <w:p>
      <w:r>
        <w:t>The divergence from canonical TGF-β signaling is most consequential at the receptor level. Classical superfamily signals are transduced by heteromeric type I/type II serine/threonine kinase receptor complexes that phosphorylate SMAD transcription factors. GDF15, by contrast, binds with high affinity to GFRAL, an orphan member of the GDNF family receptor α family, which, lacking intrinsic signaling capacity on its own, requires the receptor tyrosine kinase RET as a co-receptor [6, 7]. This mechanism is conceptually closer to that of the GDNF/Neurturin/Artemin/Persephin ligands and represents a clear example of ligand-receptor mismatch within the superfamily. The receptor-identification studies demonstrated specific high-affinity binding of GDF15 to GFRAL-RET [6, 7]; whether canonical type I/II receptors or SMAD effectors contribute to GDF15 actions is not addressed by these studies, and whether context-dependent SMAD activation downstream of GFRAL-RET can occur remains an open question not addressed by the current evidence.</w:t>
      </w:r>
    </w:p>
    <w:p>
      <w:r>
        <w:t>Several qualifications of the canonical GFRAL-centric model warrant emphasis. First, GFRAL expression is restricted, within the resolution of current assays, to neurons of the area postrema (AP) and nucleus of the solitary tract (NTS) [6, 7], an area that lacks a complete blood-brain barrier. Species comparison is essential: GFRAL-RET dependence and abolition of GDF15-induced anorexia have been demonstrated in mice [6, 7], with cross-species confirmation of AP/NTS GFRAL expression in humans and obese-nonhuman-primate weight-loss data [7]; however, GFRAL-knockout data do not exist in primates, conditional or inducible GFRAL deletion in adult animals has not been reported, and the germline knockouts used to date [6, 7] may permit developmental compensation that confounds adult phenotypes.</w:t>
      </w:r>
    </w:p>
    <w:p>
      <w:r>
        <w:t>Second, the receptor-restriction framework must accommodate two documented peripheral or non-GFRAL actions. In obese rodents, GDF15 improves insulin sensitivity without weight loss via a GFRAL-dependent hindbrain circuit that recruits sympathetic outflow and downstream β-adrenergic signaling in liver and adipose tissue; the same study reports that GDF15 suppresses glucagon during clamp independently of GFRAL [11]. Separately, GDF15 acts directly on intestinal epithelium to reduce tight-junction proteins and increase permeability in T84 cells and colonic organoids [14]. The anorectic effects of GDF15 require GFRAL [6, 7], but at least some metabolic and barrier effects do not, indicating that GDF15 should not be described as exclusively "hindbrain-restricted" in action.</w:t>
      </w:r>
    </w:p>
    <w:p>
      <w:r>
        <w:t>Third, the qualitative nature of GDF15-induced anorexia is aversive rather than satiating. GDF15 induces emesis in Suncus murinus and nausea/malaise-associated behaviors (anorexia and pica) in non-emetic rodents, and contributes to chemotherapy-induced malaise [5], with implications for the tolerability ceiling of GFRAL agonism in obesity and for GDF15's role in chemotherapy-induced anorexia and hyperemesis gravidarum [5, 17, 18]. Downstream of AP/NTS GFRAL neurons, the parabrachial nucleus, central amygdala, and hypothalamic relays (paraventricular, arcuate, lateral hypothalamic areas) are the likely second-order targets; however, the current evidence does not directly establish these projections, and defining this wiring remains a critical gap.</w:t>
      </w:r>
    </w:p>
    <w:p>
      <w:r>
        <w:t>In summary, GDF15 is a stress-inducible, disulfide-linked dimeric ligand whose structural divergence within the TGF-β superfamily coincides with a wholesale departure from canonical receptor usage. The identification of GFRAL-RET as its cognate receptor has reframed GDF15 as a ligand that bridges two otherwise distinct signaling systems—the TGF-β superfamily and the GDNF-family receptor α pathway. Combined with explicit attention to species, circuit, and germline-versus-conditional caveats, this perspective is indispensable for interpreting GDF15 biology and for designing rational therapeutic interventions.</w:t>
      </w:r>
    </w:p>
    <w:p>
      <w:pPr>
        <w:pStyle w:val="Heading1"/>
      </w:pPr>
      <w:r>
        <w:t>Primary GDF15 studies organized by domain and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Ref.</w:t>
            </w:r>
          </w:p>
        </w:tc>
        <w:tc>
          <w:tcPr>
            <w:tcW w:type="dxa" w:w="2160"/>
          </w:tcPr>
          <w:p>
            <w:r>
              <w:t>Study (first author, year)</w:t>
            </w:r>
          </w:p>
        </w:tc>
        <w:tc>
          <w:tcPr>
            <w:tcW w:type="dxa" w:w="2160"/>
          </w:tcPr>
          <w:p>
            <w:r>
              <w:t>Domain</w:t>
            </w:r>
          </w:p>
        </w:tc>
        <w:tc>
          <w:tcPr>
            <w:tcW w:type="dxa" w:w="2160"/>
          </w:tcPr>
          <w:p>
            <w:r>
              <w:t>Model / species</w:t>
            </w:r>
          </w:p>
        </w:tc>
      </w:tr>
      <w:tr>
        <w:tc>
          <w:tcPr>
            <w:tcW w:type="dxa" w:w="2160"/>
          </w:tcPr>
          <w:p>
            <w:r>
              <w:t>[14]</w:t>
            </w:r>
          </w:p>
        </w:tc>
        <w:tc>
          <w:tcPr>
            <w:tcW w:type="dxa" w:w="2160"/>
          </w:tcPr>
          <w:p>
            <w:r>
              <w:t>Ruiz-Malagón et al., World J Gastroenterol 2025; peer-reviewed.</w:t>
            </w:r>
          </w:p>
        </w:tc>
        <w:tc>
          <w:tcPr>
            <w:tcW w:type="dxa" w:w="2160"/>
          </w:tcPr>
          <w:p>
            <w:r>
              <w:t>mitochondrial stress/ISR</w:t>
            </w:r>
          </w:p>
        </w:tc>
        <w:tc>
          <w:tcPr>
            <w:tcW w:type="dxa" w:w="2160"/>
          </w:tcPr>
          <w:p>
            <w:r>
              <w:t>Human plasma (IBD patients) + in vitro (T84 cells, human colonic organoids).</w:t>
            </w:r>
          </w:p>
        </w:tc>
      </w:tr>
      <w:tr>
        <w:tc>
          <w:tcPr>
            <w:tcW w:type="dxa" w:w="2160"/>
          </w:tcPr>
          <w:p>
            <w:r>
              <w:t>[16]</w:t>
            </w:r>
          </w:p>
        </w:tc>
        <w:tc>
          <w:tcPr>
            <w:tcW w:type="dxa" w:w="2160"/>
          </w:tcPr>
          <w:p>
            <w:r>
              <w:t>Takaoka et al., Cardiovasc Res 2024; peer-reviewed.</w:t>
            </w:r>
          </w:p>
        </w:tc>
        <w:tc>
          <w:tcPr>
            <w:tcW w:type="dxa" w:w="2160"/>
          </w:tcPr>
          <w:p>
            <w:r>
              <w:t>cachexia/cancer</w:t>
            </w:r>
          </w:p>
        </w:tc>
        <w:tc>
          <w:tcPr>
            <w:tcW w:type="dxa" w:w="2160"/>
          </w:tcPr>
          <w:p>
            <w:r>
              <w:t>Mouse bone-marrow chimera model (PPP1R15A-deficient, irradiation-induced dilated cardiomyopathy) + human heart failure patients (circulating GDF15 vs lean mass).</w:t>
            </w:r>
          </w:p>
        </w:tc>
      </w:tr>
      <w:tr>
        <w:tc>
          <w:tcPr>
            <w:tcW w:type="dxa" w:w="2160"/>
          </w:tcPr>
          <w:p>
            <w:r>
              <w:t>[11]</w:t>
            </w:r>
          </w:p>
        </w:tc>
        <w:tc>
          <w:tcPr>
            <w:tcW w:type="dxa" w:w="2160"/>
          </w:tcPr>
          <w:p>
            <w:r>
              <w:t>Sjøberg et al., Cell Metab 2023; peer-reviewed.</w:t>
            </w:r>
          </w:p>
        </w:tc>
        <w:tc>
          <w:tcPr>
            <w:tcW w:type="dxa" w:w="2160"/>
          </w:tcPr>
          <w:p>
            <w:r>
              <w:t>metabolism</w:t>
            </w:r>
          </w:p>
        </w:tc>
        <w:tc>
          <w:tcPr>
            <w:tcW w:type="dxa" w:w="2160"/>
          </w:tcPr>
          <w:p>
            <w:r>
              <w:t>Obese rats; lean and obese male and female mice; GFRAL-KO and β1/β2-adrenergic receptor KO mice on chow/HFD backgrounds.</w:t>
            </w:r>
          </w:p>
        </w:tc>
      </w:tr>
      <w:tr>
        <w:tc>
          <w:tcPr>
            <w:tcW w:type="dxa" w:w="2160"/>
          </w:tcPr>
          <w:p>
            <w:r>
              <w:t>[15]</w:t>
            </w:r>
          </w:p>
        </w:tc>
        <w:tc>
          <w:tcPr>
            <w:tcW w:type="dxa" w:w="2160"/>
          </w:tcPr>
          <w:p>
            <w:r>
              <w:t>Kim-Muller et al., Cell Rep 2023; peer-reviewed.</w:t>
            </w:r>
          </w:p>
        </w:tc>
        <w:tc>
          <w:tcPr>
            <w:tcW w:type="dxa" w:w="2160"/>
          </w:tcPr>
          <w:p>
            <w:r>
              <w:t>cachexia/cancer</w:t>
            </w:r>
          </w:p>
        </w:tc>
        <w:tc>
          <w:tcPr>
            <w:tcW w:type="dxa" w:w="2160"/>
          </w:tcPr>
          <w:p>
            <w:r>
              <w:t>Mouse cancer cachexia model (TOV21G tumor-bearing, GDF15 neutralizing antibody mAB2 intervention).</w:t>
            </w:r>
          </w:p>
        </w:tc>
      </w:tr>
      <w:tr>
        <w:tc>
          <w:tcPr>
            <w:tcW w:type="dxa" w:w="2160"/>
          </w:tcPr>
          <w:p>
            <w:r>
              <w:t>[5]</w:t>
            </w:r>
          </w:p>
        </w:tc>
        <w:tc>
          <w:tcPr>
            <w:tcW w:type="dxa" w:w="2160"/>
          </w:tcPr>
          <w:p>
            <w:r>
              <w:t>Borner et al., Cell Metab 2020; peer-reviewed.</w:t>
            </w:r>
          </w:p>
        </w:tc>
        <w:tc>
          <w:tcPr>
            <w:tcW w:type="dxa" w:w="2160"/>
          </w:tcPr>
          <w:p>
            <w:r>
              <w:t>signaling</w:t>
            </w:r>
          </w:p>
        </w:tc>
        <w:tc>
          <w:tcPr>
            <w:tcW w:type="dxa" w:w="2160"/>
          </w:tcPr>
          <w:p>
            <w:r>
              <w:t>Musk shrew (Suncus murinus, emetic species), mice, and lean/obese rats; both sexes used for nausea/pica/anorectic endpoints.</w:t>
            </w:r>
          </w:p>
        </w:tc>
      </w:tr>
      <w:tr>
        <w:tc>
          <w:tcPr>
            <w:tcW w:type="dxa" w:w="2160"/>
          </w:tcPr>
          <w:p>
            <w:r>
              <w:t>[6]</w:t>
            </w:r>
          </w:p>
        </w:tc>
        <w:tc>
          <w:tcPr>
            <w:tcW w:type="dxa" w:w="2160"/>
          </w:tcPr>
          <w:p>
            <w:r>
              <w:t>Yang et al., Nat Med 2017; peer-reviewed.</w:t>
            </w:r>
          </w:p>
        </w:tc>
        <w:tc>
          <w:tcPr>
            <w:tcW w:type="dxa" w:w="2160"/>
          </w:tcPr>
          <w:p>
            <w:r>
              <w:t>signaling</w:t>
            </w:r>
          </w:p>
        </w:tc>
        <w:tc>
          <w:tcPr>
            <w:tcW w:type="dxa" w:w="2160"/>
          </w:tcPr>
          <w:p>
            <w:r>
              <w:t>In vitro receptor binding/signaling assays + obese mice and GFRAL-knockout mice (mixed backgrounds).</w:t>
            </w:r>
          </w:p>
        </w:tc>
      </w:tr>
      <w:tr>
        <w:tc>
          <w:tcPr>
            <w:tcW w:type="dxa" w:w="2160"/>
          </w:tcPr>
          <w:p>
            <w:r>
              <w:t>[7]</w:t>
            </w:r>
          </w:p>
        </w:tc>
        <w:tc>
          <w:tcPr>
            <w:tcW w:type="dxa" w:w="2160"/>
          </w:tcPr>
          <w:p>
            <w:r>
              <w:t>Mullican et al., Nat Med 2017; peer-reviewed.</w:t>
            </w:r>
          </w:p>
        </w:tc>
        <w:tc>
          <w:tcPr>
            <w:tcW w:type="dxa" w:w="2160"/>
          </w:tcPr>
          <w:p>
            <w:r>
              <w:t>signaling</w:t>
            </w:r>
          </w:p>
        </w:tc>
        <w:tc>
          <w:tcPr>
            <w:tcW w:type="dxa" w:w="2160"/>
          </w:tcPr>
          <w:p>
            <w:r>
              <w:t>High-fat-diet mice, GFRAL-knockout mice, and obese nonhuman primates (cynomolgus macaques).</w:t>
            </w:r>
          </w:p>
        </w:tc>
      </w:tr>
      <w:tr>
        <w:tc>
          <w:tcPr>
            <w:tcW w:type="dxa" w:w="2160"/>
          </w:tcPr>
          <w:p>
            <w:r>
              <w:t>[12]</w:t>
            </w:r>
          </w:p>
        </w:tc>
        <w:tc>
          <w:tcPr>
            <w:tcW w:type="dxa" w:w="2160"/>
          </w:tcPr>
          <w:p>
            <w:r>
              <w:t>Carballo-Casla et al., Geroscience 2022; peer-reviewed.</w:t>
            </w:r>
          </w:p>
        </w:tc>
        <w:tc>
          <w:tcPr>
            <w:tcW w:type="dxa" w:w="2160"/>
          </w:tcPr>
          <w:p>
            <w:r>
              <w:t>biomarker</w:t>
            </w:r>
          </w:p>
        </w:tc>
        <w:tc>
          <w:tcPr>
            <w:tcW w:type="dxa" w:w="2160"/>
          </w:tcPr>
          <w:p>
            <w:r>
              <w:t>Human community-dwelling older adults, Seniors-ENRICA-2 cohort (Spain), n = 1,938, age ≥ 65 years, cross-sectional serum GDF15.</w:t>
            </w:r>
          </w:p>
        </w:tc>
      </w:tr>
      <w:tr>
        <w:tc>
          <w:tcPr>
            <w:tcW w:type="dxa" w:w="2160"/>
          </w:tcPr>
          <w:p>
            <w:r>
              <w:t>[9]</w:t>
            </w:r>
          </w:p>
        </w:tc>
        <w:tc>
          <w:tcPr>
            <w:tcW w:type="dxa" w:w="2160"/>
          </w:tcPr>
          <w:p>
            <w:r>
              <w:t>Kleinert et al., Am J Physiol Endocrinol Metab 2019; peer-reviewed.</w:t>
            </w:r>
          </w:p>
        </w:tc>
        <w:tc>
          <w:tcPr>
            <w:tcW w:type="dxa" w:w="2160"/>
          </w:tcPr>
          <w:p>
            <w:r>
              <w:t>metabolism</w:t>
            </w:r>
          </w:p>
        </w:tc>
        <w:tc>
          <w:tcPr>
            <w:tcW w:type="dxa" w:w="2160"/>
          </w:tcPr>
          <w:p>
            <w:r>
              <w:t>Human clinical cohort, 47 patients with obesity (± T2D) undergoing Roux-en-Y gastric bypass, longitudinal plasma GDF15 (pre-op to 2.5–4 yr).</w:t>
            </w:r>
          </w:p>
        </w:tc>
      </w:tr>
      <w:tr>
        <w:tc>
          <w:tcPr>
            <w:tcW w:type="dxa" w:w="2160"/>
          </w:tcPr>
          <w:p>
            <w:r>
              <w:t>[2]</w:t>
            </w:r>
          </w:p>
        </w:tc>
        <w:tc>
          <w:tcPr>
            <w:tcW w:type="dxa" w:w="2160"/>
          </w:tcPr>
          <w:p>
            <w:r>
              <w:t>Fielding et al., J Gerontol A Biol Sci Med Sci 2024; peer-reviewed.</w:t>
            </w:r>
          </w:p>
        </w:tc>
        <w:tc>
          <w:tcPr>
            <w:tcW w:type="dxa" w:w="2160"/>
          </w:tcPr>
          <w:p>
            <w:r>
              <w:t>aging</w:t>
            </w:r>
          </w:p>
        </w:tc>
        <w:tc>
          <w:tcPr>
            <w:tcW w:type="dxa" w:w="2160"/>
          </w:tcPr>
          <w:p>
            <w:r>
              <w:t>Human randomized trial substudy (Lifestyle Interventions in Elders Study), n = 1,377 community-dwelling older adults, plasma 27-analyte senescence panel including GDF15.</w:t>
            </w:r>
          </w:p>
        </w:tc>
      </w:tr>
      <w:tr>
        <w:tc>
          <w:tcPr>
            <w:tcW w:type="dxa" w:w="2160"/>
          </w:tcPr>
          <w:p>
            <w:r>
              <w:t>[20]</w:t>
            </w:r>
          </w:p>
        </w:tc>
        <w:tc>
          <w:tcPr>
            <w:tcW w:type="dxa" w:w="2160"/>
          </w:tcPr>
          <w:p>
            <w:r>
              <w:t>Lin et al., Cardiovasc Diabetol 2025; peer-reviewed.</w:t>
            </w:r>
          </w:p>
        </w:tc>
        <w:tc>
          <w:tcPr>
            <w:tcW w:type="dxa" w:w="2160"/>
          </w:tcPr>
          <w:p>
            <w:r>
              <w:t>aging</w:t>
            </w:r>
          </w:p>
        </w:tc>
        <w:tc>
          <w:tcPr>
            <w:tcW w:type="dxa" w:w="2160"/>
          </w:tcPr>
          <w:p>
            <w:r>
              <w:t>Human UK Biobank prospective cohort (n = 330,177 base; proteomic sub-cohort ~35,118 with 2,911 plasma proteins), multistate cardio-renal-metabolic comorbidity modeling.</w:t>
            </w:r>
          </w:p>
        </w:tc>
      </w:tr>
      <w:tr>
        <w:tc>
          <w:tcPr>
            <w:tcW w:type="dxa" w:w="2160"/>
          </w:tcPr>
          <w:p>
            <w:r>
              <w:t>[19]</w:t>
            </w:r>
          </w:p>
        </w:tc>
        <w:tc>
          <w:tcPr>
            <w:tcW w:type="dxa" w:w="2160"/>
          </w:tcPr>
          <w:p>
            <w:r>
              <w:t>Townsend et al., FASEB J 2021; peer-reviewed.</w:t>
            </w:r>
          </w:p>
        </w:tc>
        <w:tc>
          <w:tcPr>
            <w:tcW w:type="dxa" w:w="2160"/>
          </w:tcPr>
          <w:p>
            <w:r>
              <w:t>mitochondrial stress/ISR</w:t>
            </w:r>
          </w:p>
        </w:tc>
        <w:tc>
          <w:tcPr>
            <w:tcW w:type="dxa" w:w="2160"/>
          </w:tcPr>
          <w:p>
            <w:r>
              <w:t>Adult mice in vivo — wild-type, AMPKβ1−/−, and CHOP−/− (with pharmacological AMPK activation by AICAR, R419, A769662); liver and serum GDF15 readouts.</w:t>
            </w:r>
          </w:p>
        </w:tc>
      </w:tr>
    </w:tbl>
    <w:p>
      <w:pPr>
        <w:pStyle w:val="Heading1"/>
      </w:pPr>
      <w:r>
        <w:t>References</w:t>
      </w:r>
    </w:p>
    <w:p>
      <w:r>
        <w:t>[1] Yuan S, Shuyao T, Jingwei L, Bing W, Jingwen X, Busu L, et al. Growth differentiation factor 15: a valuable biomarker for the diagnosis and prognosis of late-onset form of multiple Acyl-CoA dehydrogenation deficiency. Orphanet J Rare Dis. 2025;20(1):159. doi:10.1186/s13023-025-03651-1 PMID: 40181460</w:t>
      </w:r>
    </w:p>
    <w:p>
      <w:r>
        <w:t>[2] Fielding RA, Atkinson EJ, Aversa Z, White TA, Heeren AA, Mielke MM, et al. Biomarkers of Cellular Senescence Predict the Onset of Mobility Disability and Are Reduced by Physical Activity in Older Adults. J Gerontol A Biol Sci Med Sci. 2024;79(3):glad257. doi:10.1093/gerona/glad257 PMID: 37948612</w:t>
      </w:r>
    </w:p>
    <w:p>
      <w:r>
        <w:t>[3] Wang D, Day EA, Townsend LK, Djordjevic D, Jørgensen SB, Steinberg GR. GDF15: emerging biology and therapeutic applications for obesity and cardiometabolic disease. Nat Rev Endocrinol. 2021;17(10):592-607. doi:10.1038/s41574-021-00529-7 PMID: 34381196</w:t>
      </w:r>
    </w:p>
    <w:p>
      <w:r>
        <w:t>[4] Breit SN, Brown DA, Tsai VW. The GDF15-GFRAL Pathway in Health and Metabolic Disease: Friend or Foe?. Annu Rev Physiol. 2021;83:127-151. doi:10.1146/annurev-physiol-022020-045449 PMID: 33228454</w:t>
      </w:r>
    </w:p>
    <w:p>
      <w:r>
        <w:t>[5] Borner T, Shaulson ED, Ghidewon MY, Barnett AB, Horn CC, Doyle RP, et al. GDF15 Induces Anorexia through Nausea and Emesis. Cell Metab. 2020;31(2):351-362.e5. doi:10.1016/j.cmet.2019.12.004 PMID: 31928886</w:t>
      </w:r>
    </w:p>
    <w:p>
      <w:r>
        <w:t>[6] Yang L, Chang CC, Sun Z, Madsen D, Zhu H, Padkjær SB, et al. GFRAL is the receptor for GDF15 and is required for the anti-obesity effects of the ligand. Nat Med. 2017;23(10):1158-1166. doi:10.1038/nm.4394 PMID: 28846099</w:t>
      </w:r>
    </w:p>
    <w:p>
      <w:r>
        <w:t>[7] Mullican SE, Lin-Schmidt X, Chin CN, Chavez JA, Furman JL, Armstrong AA, et al. GFRAL is the receptor for GDF15 and the ligand promotes weight loss in mice and nonhuman primates. Nat Med. 2017;23(10):1150-1157. doi:10.1038/nm.4392 PMID: 28846097</w:t>
      </w:r>
    </w:p>
    <w:p>
      <w:r>
        <w:t>[8] Salmón-Gómez L, Catalán V, Ramírez B, Aguas-Ayesa M, Rodríguez A, Becerril S, et al. Differential effects of bariatric surgery on circulating GDF15 and FGF21 levels: Implications for glycemic status and weight loss outcomes. Eur J Clin Invest. 2025;55(10):e70069. doi:10.1111/eci.70069 PMID: 40377893</w:t>
      </w:r>
    </w:p>
    <w:p>
      <w:r>
        <w:t>[9] Kleinert M, Bojsen-Møller KN, Jørgensen NB, Svane MS, Martinussen C, Kiens B, et al. Effect of bariatric surgery on plasma GDF15 in humans. Am J Physiol Endocrinol Metab. 2019;316(4):E615-E621. doi:10.1152/ajpendo.00010.2019 PMID: 30721097</w:t>
      </w:r>
    </w:p>
    <w:p>
      <w:r>
        <w:t>[10] Urones P, Juiz-Valiña P, Outeiriño-Blanco E, García-Brao MJ, Balboa-Barreiro V, Cordido F, et al. Relevance of GDF15 as a biomarker for clinical outcomes after bariatric surgery. J Endocrinol. 2025;266(1):e250010. doi:10.1530/JOE-25-0010 PMID: 40530451</w:t>
      </w:r>
    </w:p>
    <w:p>
      <w:r>
        <w:t>[11] Sjøberg KA, Sigvardsen CM, Alvarado-Diaz A, Andersen NR, Larance M, Seeley RJ, et al. GDF15 increases insulin action in the liver and adipose tissue via a β-adrenergic receptor-mediated mechanism. Cell Metab. 2023;35(8):1327-1340.e5. doi:10.1016/j.cmet.2023.06.016 PMID: 37473755</w:t>
      </w:r>
    </w:p>
    <w:p>
      <w:r>
        <w:t>[12] Carballo-Casla A, García-Esquinas E, Buño-Soto A, Struijk EA, López-García E, Rodríguez-Artalejo F, et al. Metabolic syndrome and Growth Differentiation Factor 15 in older adults. Geroscience. 2022;44(2):867-880. doi:10.1007/s11357-021-00370-w PMID: 33961185</w:t>
      </w:r>
    </w:p>
    <w:p>
      <w:r>
        <w:t>[13] Hüllwegen M, Kleinert M, von Haehling S, Fischer A. GDF15: from biomarker to target in cancer cachexia. Trends Cancer. 2025;11(11):1093-1105. doi:10.1016/j.trecan.2025.06.007 PMID: 40640073</w:t>
      </w:r>
    </w:p>
    <w:p>
      <w:r>
        <w:t>[14] Ruiz-Malagón AJ, Herraiz-Vilela M, Serrano-Pino R, García-Ávila P, Díaz-Suárez L, Carmona-Segovia AD, et al. Growth differentiation factor 15 alters intestinal barrier and increases permeability: A new molecular target in inflammatory bowel disease. World J Gastroenterol. 2025;31(41):110955. doi:10.3748/wjg.v31.i41.110955 PMID: 41257277</w:t>
      </w:r>
    </w:p>
    <w:p>
      <w:r>
        <w:t>[15] Kim-Muller JY, Song L, LaCarubba Paulhus B, Pashos E, Li X, Rinaldi A, et al. GDF15 neutralization restores muscle function and physical performance in a mouse model of cancer cachexia. Cell Rep. 2023;42(1):111947. doi:10.1016/j.celrep.2022.111947 PMID: 36640326</w:t>
      </w:r>
    </w:p>
    <w:p>
      <w:r>
        <w:t>[16] Takaoka M, Tadross JA, Al-Hadithi ABAK, Zhao X, Villena-Gutiérrez R, Tromp J, et al. GDF15 antagonism limits severe heart failure and prevents cardiac cachexia. Cardiovasc Res. 2024;120(17):2249-2260. doi:10.1093/cvr/cvae214 PMID: 39312445</w:t>
      </w:r>
    </w:p>
    <w:p>
      <w:r>
        <w:t>[17] Fejzo MS, Trovik J, Grooten IJ, Sridharan K, Roseboom TJ, Vikanes Å, et al. Nausea and vomiting of pregnancy and hyperemesis gravidarum. Nat Rev Dis Primers. 2019;5(1):62. doi:10.1038/s41572-019-0110-3 PMID: 31515515</w:t>
      </w:r>
    </w:p>
    <w:p>
      <w:r>
        <w:t>[18] Fejzo M, Rocha N, Cimino I, Lockhart SM, Petry CJ, Kay RG, et al. GDF15 linked to maternal risk of nausea and vomiting during pregnancy. Nature. 2024;625(7996):760-767. doi:10.1038/s41586-023-06921-9 PMID: 38092039</w:t>
      </w:r>
    </w:p>
    <w:p>
      <w:r>
        <w:t>[19] Townsend LK, Weber AJ, Day EA, Shamshoum H, Shaw SJ, Perry CGR, et al. AMPK mediates energetic stress-induced liver GDF15. FASEB J. 2021;35(1):e21218. doi:10.1096/fj.202000954R PMID: 33337559</w:t>
      </w:r>
    </w:p>
    <w:p>
      <w:r>
        <w:t>[20] Lin Z, Wang C, Lin Z, Lin K, Guo Y. Proteomics mediates the effects of biological aging on the progression of cardio-renal-metabolic comorbidity: a UK biobank cohort study. Cardiovasc Diabetol. 2025;25(1):8. doi:10.1186/s12933-025-03035-6 PMID: 41366404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