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GDF15 as a Stress-Induced Cytokine at the Crossroads of Aging and Metabolism: Mechanisms, Disease Relevance and Therapeutic Opportunities</w:t>
      </w:r>
    </w:p>
    <w:p>
      <w:r>
        <w:rPr>
          <w:i/>
        </w:rPr>
        <w:t>Drafted with Agent Hub (minimax-cn/MiniMax-M3); references retrieved from PubMed; peer-reviewed by three Agent Hub reviewer subagents and revised.</w:t>
      </w:r>
    </w:p>
    <w:p>
      <w:pPr>
        <w:pStyle w:val="Heading1"/>
      </w:pPr>
      <w:r>
        <w:t>Abstract</w:t>
      </w:r>
    </w:p>
    <w:p>
      <w:r>
        <w:t>Growth differentiation factor 15 (GDF15) has emerged as a stress-induced cytokine that integrates mitochondrial, endoplasmic reticulum, inflammatory, oxidative and nutrient stress into centrally coordinated behavioural and metabolic responses through its cognate receptor GFRAL and the co-receptor RET. Circulating concentrations rise modestly with exercise, pregnancy, mitochondrial disease and cardiometabolic stress, where they correlate with, and in some settings causally mediate, favourable metabolic adaptations including weight loss and improved lipid handling, but also increase 10- to 100-fold in advanced cancer, driving lethal anorexia–cachexia. The molecule displays striking context-dependent pleiotropy: it may act as a tumour suppressor early in carcinogenesis yet suppresses anti-tumour immunity and promotes cachexia in advanced disease, whereas in the brain its expression rises with ageing and neurodegeneration, where altered mature-to-precursor ratios coincide with downregulation of oxidative phosphorylation complexes. Identification of GFRAL expression in peripheral tissues—including skeletal muscle, where GDF15 engages a β-adrenergic, calcium-futile-cycling axis, and adipose tissue, where it drives sympathetic, ATGL-dependent lipolysis—extends its action beyond the hindbrain. Here we synthesise current understanding of GDF15 transcriptional regulation, including integrated stress response and cGAS–STING-coupled arms, critically evaluate the evidence that metformin-induced weight loss is GDF15-dependent, and examine therapeutic modalities spanning neutralising antibodies, GFRAL agonists and antagonists, and GDF15-derived peptide analogues. We explicitly address the central paradox of whether chronically elevated GDF15 in ageing and disease is protective, pathogenic or merely correlative, and outline the mechanistic and translational uncertainties that must be resolved before the GDF15 axis can be safely exploited.</w:t>
      </w:r>
    </w:p>
    <w:p>
      <w:r>
        <w:rPr>
          <w:b/>
        </w:rPr>
        <w:t xml:space="preserve">Keywords: </w:t>
      </w:r>
      <w:r>
        <w:t>GDF15; GFRAL/RET signalling; cancer cachexia; integrated stress response; mitochondrial dysfunction; energy metabolism</w:t>
      </w:r>
    </w:p>
    <w:p>
      <w:pPr>
        <w:pStyle w:val="Heading1"/>
      </w:pPr>
      <w:r>
        <w:t>1. Introduction and Scope</w:t>
      </w:r>
    </w:p>
    <w:p>
      <w:r>
        <w:t>Growth differentiation factor 15 (GDF15), a distant member of the transforming growth factor-β (TGF-β) superfamily, has emerged over the past decade from relative obscurity to become a focal point in metabolic and stress biology [1, 2, 3]. Originally identified more than two decades ago and termed macrophage inhibitory cytokine-1 (MIC-1) by subtraction cloning from activated macrophages [2, 4], GDF15 was long regarded as an obscure injury- and inflammation-associated biomarker. The identification of glial cell line-derived neurotrophic factor (GDNF) family receptor α-like (GFRAL) as its cognate receptor, together with the receptor tyrosine kinase RET as obligate co-receptor, repositioned the molecule from a passive marker of cellular distress to an active hormone that conveys somatic stress to the brain [1, 3, 5, 6]. This conceptual shift coincided with renewed interest in GDF15 as a metabolic regulator, prompted by the recognition that circulating concentrations rise during infection, mitochondrial dysfunction, exercise, pregnancy, cancer and cardiometabolic disease, and that pharmacological elevation of GDF15 reduces food intake and body mass in rodents largely independently of classical appetite regulators such as leptin, ghrelin and glucagon-like peptide 1 [1, 5, 6, 7, 8].</w:t>
      </w:r>
    </w:p>
    <w:p>
      <w:r>
        <w:t>At its core, GDF15 is best understood as a stress-induced cytokine that links disturbances in cellular homeostasis—mitochondrial, endoplasmic reticulum, inflammatory, oxidative and nutrient stress—to a centrally orchestrated behavioural and metabolic response [3, 6, 8]. Its secretion rises by orders of magnitude (10–100-fold) in advanced cancer, where the resulting anorexia–cachexia syndrome is often fatal [3], yet modestly elevated levels are reproducibly induced by metformin and by endurance exercise in both mice and humans and are, at least in rodents, associated with improved metabolic profiles and decreased adiposity [3, 5]. This duality—GDF15 as both a driver of lethal wasting and a mediator of healthful metabolic adaptation—captures the central paradox of the field and motivates the present review. The molecule also exhibits striking tissue- and stage-specific pleiotropy: during early carcinogenesis GDF15 may act as a tumour-suppressive brake, but as disease progresses it suppresses anti-tumour immunity, promotes regulatory T-cell differentiation, impairs dendritic cell function and drives cachexia through GFRAL–RET signalling [2, 9]; in the brain, its expression rises with ageing and in Alzheimer's disease, where an altered mature-to-precursor ratio is accompanied by downregulation of oxidative phosphorylation complexes I, III and V, raising the possibility of a coupled mitochondrial-stress and altered-GDF15-maturation response [10]. Across three mammalian species—one emetic (Suncus murinus) and two non-emetic—GDF15 acts through hindbrain emetic neurocircuitry to evoke nausea, malaise and anorexia, consistent with engagement of aversive neurocircuitry [11].</w:t>
      </w:r>
    </w:p>
    <w:p>
      <w:r>
        <w:t>The scope of this review is therefore deliberately broad and critical. We first outline the molecular biology and transcriptional regulation of GDF15 in stress, including endoplasmic reticulum stress and mitochondrial signalling axes—encompassing cytosolic mtDNA–cGAS–STING coupling—that drive its expression under proteostatic and inflammatory challenge [8, 12, 13]. We then dissect the GFRAL/RET signalling cassette, noting both its anatomical restriction and the emerging evidence for GFRAL expression and function in peripheral tissues, including skeletal muscle, where GDF15 engages a β-adrenergic signalling axis that increases calcium-futile cycling and fatty acid oxidation [14], and adipose tissue, where GDF15 promotes lipolysis through a sympathetic, ATGL-dependent axis that operates independently of anorexia [15]. We examine the metabolic consequences—effects on energy homeostasis, lipid handling and glucose tolerance—and critically appraise the evidence that metformin-induced weight loss in humans is causally GDF15-dependent [5, 6]. We further consider GDF15 in cardiometabolic disease, cancer cachexia and neurodegeneration, including the unresolved question of whether chronically elevated GDF15 in ageing and disease is protective, pathogenic, or merely correlative, and the related question of which senescent or stressed cell populations, if any, causally drive the circulating pool [3, 8, 10, 16]. Finally, we evaluate therapeutic modalities—neutralising antibodies (both anti-GFRAL and anti-GDF15), GFRAL agonists and antagonists, GDF15-derived peptide analogues and emerging small molecules—and frame the key controversies that must be resolved before the GDF15 axis can be safely translated [5, 7, 15, 16].</w:t>
      </w:r>
    </w:p>
    <w:p>
      <w:r>
        <w:t>Three limitations of the current literature warrant emphasis. First, much of the foundational biology derives from rodent models in which supraphysiological recombinant protein dosing (often of human protein administered to rodents, compounding cross-species uncertainty) and tumour-bearing cachectic states may not faithfully reproduce the modest, chronic GDF15 elevations typical of human cardiometabolic disease. Second, the existence of GFRAL-independent signalling pathways, possibly mediated by additional peptides derived from the same precursor protein, remains poorly characterised and may account for reported tissue effects not easily explained by hindbrain GFRAL/RET action alone [1]. Third, even where human genetic data exist, they do not unambiguously support a primary causal role for GDF15 in common obesity, leaving open whether circulating GDF15 is a cause, a consequence, or merely a coincident biomarker of metabolic stress [5]. Acknowledging these uncertainties is essential for an honest appraisal of a molecule whose biology has so often outpaced its therapeutic translation.</w:t>
      </w:r>
    </w:p>
    <w:p>
      <w:pPr>
        <w:pStyle w:val="Heading1"/>
      </w:pPr>
      <w:r>
        <w:t>2. Molecular Biology and Transcriptional Regulation of GDF15 in Stress</w:t>
      </w:r>
    </w:p>
    <w:p>
      <w:r>
        <w:t>Growth differentiation factor 15 (GDF15), originally identified as macrophage inhibitory cytokine-1 (MIC-1) [4], is a divergent member of the transforming growth factor-β (TGF-β) superfamily with only modest sequence identity to canonical ligands such as activins, BMPs and TGF-βs [2]. The primary translation product is a preproprotein of approximately 62 kDa, which after cleavage by a furin-like protease is secreted as a disulphide-linked mature dimer of approximately 25 kDa [17].</w:t>
      </w:r>
    </w:p>
    <w:p>
      <w:r>
        <w:t>This regulated proteolytic maturation—uncommon among TGF-β superfamily members—shapes both the abundance and the activity of circulating GDF15. Furin-family proprotein convertases cleave the proprotein [17]. Subsequent shedding of the prodomain by extracellular proteases liberates the mature ligand; the dominant prodomain-releasing activity in vivo has not been definitively identified, and the relative contributions of distinct proteolytic systems to stress-induced maturation remain unresolved [1]. The mature-to-precursor ratio is dynamically regulated and shifts in disease: in Alzheimer's disease and aged frontal cortex the ratio is elevated alongside downregulation of oxidative phosphorylation complexes I, III and V, raising the possibility of a coupled mitochondrial-stress and altered-maturation response rather than an established mechanistic linkage [10]. The frequent assumption that the mature dimer is "markedly more potent" than the precursor conflates changes in protein abundance with bioactivity; rigorous quantitative EC50 comparisons between precursor and mature species remain sparse.</w:t>
      </w:r>
    </w:p>
    <w:p>
      <w:r>
        <w:t>Transcriptional control of GDF15 integrates multiple stress-activated cis-elements and is best understood as a set of tissue-specific programmes rather than a monolithic stress response. Two p53-type response elements (RE1 and RE2) have been mapped in the promoter; RE2 confers p53-specific transactivation because of mismatches that reduce p63/p73 binding, providing the historical basis for GDF15's classification as a p53 target gene [18]. The same locus is bound by TAp63α in keratinocytes, coupling GDF15 to a differentiation programme [19], and high-glucose stress activates the p53 axis in endothelial cells [20]. In parallel, GDF15 transcription is induced by ER stress and other ISR-activating stresses [8]. In human skeletal muscle, acute exercise induces GDF15 alongside the UPR/ISR markers ATF4, CHOP, PERK and GADD34, directly implicating the ISR in myocyte GDF15 output [21]. Additional stress-responsive elements in the promoter have been reported to confer responsiveness to inflammatory, metabolic and oxidative cues, although the specific factor identities and their relative in vivo contributions have not been systematically defined by ChIP-based mapping [8]. The convergence of these elements endows GDF15 with broad stress-responsiveness—mitochondrial, ER, inflammatory, metabolic and oxidative stresses all elevate expression—and underlies its classification as a core senescence-associated secretory phenotype (SASP) factor [8].</w:t>
      </w:r>
    </w:p>
    <w:p>
      <w:r>
        <w:t>Three tissue-specific programmes are particularly relevant to circulating GDF15. ER stress has been reported to drive GDF15 induction as part of the unfolded protein response [8]. In human skeletal muscle, acute exercise engages an ISR programme that induces GDF15 alongside the markers ATF4, CHOP, PERK and GADD34 [21]; and in differentiating myoblasts GDF15 expression rises alongside a PGC-1α (PPARGC1A)-coordinated mitochondrial-biogenesis module in which GDF15 overexpression enhances PGC-1α transactivation via PPARδ/ERRα [22]; whether a PGC-1α-related programme causally contributes to metformin- or exercise-driven GDF15 elevations in humans remains under investigation rather than established [5]. Tumor-derived GDF15 activates GFRAL–RET signalling in brainstem neurons, which drives sympathetic outflow to adipose tissue, eliciting ATGL-dependent lipolysis independent of anorexia [15]. In tumours, p53 and cooperating oncogenic drivers converge on the GDF15 promoter to produce the 10- to 100-fold serum elevations characteristic of advanced cachexia [3, 9, 18].</w:t>
      </w:r>
    </w:p>
    <w:p>
      <w:r>
        <w:t>The mitochondrial arm of this regulation deserves separate emphasis. GDF15 is increasingly classified as a mitokine—a cytokine induced by, and reporting on, mitochondrial dysfunction [13]. Two mechanistically distinct coupling pathways have emerged. First, an integrated stress response to mitochondrial dysfunction (ISRmt) has been proposed to drive GDF15 induction. This pathway is engaged in primary mitochondrial myopathies, in which circulating GDF15 rises dramatically and GDF15 neutralisation improves muscle mass and exercise capacity [16]. Second, an ISR-independent arm in which cytosolic mtDNA—released via VDAC-dependent mechanisms—activates cGAS–STING and downstream type I interferon programmes, with elevated monocyte GDF15 accompanying cGAS-STING-driven interferon release in systemic sclerosis [12, 13]. The relative contributions of ISRmt versus cGAS–STING across tissues, and the upstream eIF2α kinases that couple specific stresses to GDF15 induction in non-cancer settings, remain poorly mapped [8].</w:t>
      </w:r>
    </w:p>
    <w:p>
      <w:r>
        <w:t>GDF15 mRNA is detectable at low basal concentrations in many organs, including liver, kidney, brain and placenta, and rises markedly in disease—10- to 100-fold in advanced cancer cachexia, where the dominant cellular source shifts with tumour type and stage, and substantially in pregnancy, where placental trophoblasts become a principal contributor [2, 3, 6]. Recent work has highlighted that the pro-GDF15 precursor may give rise to additional bioactive peptides beyond the canonical mature C-terminal dimer, raising the possibility that some reported GFRAL-independent actions of "GDF15" are mediated by as-yet-uncharacterised fragments rather than the C-terminal ligand itself—an important consideration for interpreting pharmacology and biomarker data [1].</w:t>
      </w:r>
    </w:p>
    <w:p>
      <w:r>
        <w:t>A critical perspective is warranted. Most evidence for the stress-induced transcriptional programme derives from in vitro cell-line studies using supra-physiological stressors and from bulk transcriptomic analyses that cannot resolve the relative contributions of distinct cis-elements in vivo. In animal models, recombinant GDF15 reduces food intake and body mass, but human genetic studies provide inconsistent evidence for a causal role of GDF15 in common obesity, with reported associations at the GDF15 locus failing to replicate across cohorts [5]. A comparable gap exists for SASP biology: although GDF15 is a documented senescence-associated secreted factor, senescent-cell-specific ablation has not been performed, so the requirement for endogenous GDF15 from senescent cells—rather than from neighbouring stressed parenchyma—in driving systemic ageing phenotypes lacks direct experimental support [8].</w:t>
      </w:r>
    </w:p>
    <w:p>
      <w:pPr>
        <w:pStyle w:val="Heading1"/>
      </w:pPr>
      <w:r>
        <w:t>Primary studies on GDF15 in stress, metabolism and ageing-related disease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Study (first author, year)</w:t>
            </w:r>
          </w:p>
        </w:tc>
        <w:tc>
          <w:tcPr>
            <w:tcW w:type="dxa" w:w="2160"/>
          </w:tcPr>
          <w:p>
            <w:r>
              <w:t>Model / cohort</w:t>
            </w:r>
          </w:p>
        </w:tc>
        <w:tc>
          <w:tcPr>
            <w:tcW w:type="dxa" w:w="2160"/>
          </w:tcPr>
          <w:p>
            <w:r>
              <w:t>Key finding &amp; evidence strand</w:t>
            </w:r>
          </w:p>
        </w:tc>
      </w:tr>
      <w:tr>
        <w:tc>
          <w:tcPr>
            <w:tcW w:type="dxa" w:w="2160"/>
          </w:tcPr>
          <w:p>
            <w:r>
              <w:t>[14]</w:t>
            </w:r>
          </w:p>
        </w:tc>
        <w:tc>
          <w:tcPr>
            <w:tcW w:type="dxa" w:w="2160"/>
          </w:tcPr>
          <w:p>
            <w:r>
              <w:t>Wang D, Townsend LK, DesOrmeaux GJ, Frangos SM, Batchuluun B, Dumont L, et al. GDF15 promotes weight loss by enhancing energy expenditure in muscle. Nature. 2023.</w:t>
            </w:r>
          </w:p>
        </w:tc>
        <w:tc>
          <w:tcPr>
            <w:tcW w:type="dxa" w:w="2160"/>
          </w:tcPr>
          <w:p>
            <w:r>
              <w:t>Mice (high-fat diet-fed, in vivo) / recombinant GDF15 administration</w:t>
            </w:r>
          </w:p>
        </w:tc>
        <w:tc>
          <w:tcPr>
            <w:tcW w:type="dxa" w:w="2160"/>
          </w:tcPr>
          <w:p>
            <w:r>
              <w:t>GDF15 counteracts caloric restriction-induced adaptive thermogenesis via a GFRAL–β-adrenergic axis in skeletal muscle, increasing fatty acid oxidation and Ca²⁺ futile cycling and producing greater weight loss and reduced NAFLD than caloric restriction alone.</w:t>
            </w:r>
          </w:p>
        </w:tc>
      </w:tr>
      <w:tr>
        <w:tc>
          <w:tcPr>
            <w:tcW w:type="dxa" w:w="2160"/>
          </w:tcPr>
          <w:p>
            <w:r>
              <w:t>[10]</w:t>
            </w:r>
          </w:p>
        </w:tc>
        <w:tc>
          <w:tcPr>
            <w:tcW w:type="dxa" w:w="2160"/>
          </w:tcPr>
          <w:p>
            <w:r>
              <w:t>Chiariello A, Cuccarolo P, Paccosi E, Casalino L, Ciaccio C, Botta E, et al. The expression pattern of GDF15 in human brain changes during aging and in Alzheimer's disease. Front Aging Neurosci. 2022.</w:t>
            </w:r>
          </w:p>
        </w:tc>
        <w:tc>
          <w:tcPr>
            <w:tcW w:type="dxa" w:w="2160"/>
          </w:tcPr>
          <w:p>
            <w:r>
              <w:t>Human post-mortem brain tissue (AD vs non-demented controls) and patient-derived dermal fibroblasts</w:t>
            </w:r>
          </w:p>
        </w:tc>
        <w:tc>
          <w:tcPr>
            <w:tcW w:type="dxa" w:w="2160"/>
          </w:tcPr>
          <w:p>
            <w:r>
              <w:t>Aging and Alzheimer's disease brains show increased GDF15 expression with a higher mature-to-precursor ratio, correlating with downregulation of OXPHOS complexes I, III and V, consistent with a mitochondrial-stress response countering neuroinflammation.</w:t>
            </w:r>
          </w:p>
        </w:tc>
      </w:tr>
      <w:tr>
        <w:tc>
          <w:tcPr>
            <w:tcW w:type="dxa" w:w="2160"/>
          </w:tcPr>
          <w:p>
            <w:r>
              <w:t>[11]</w:t>
            </w:r>
          </w:p>
        </w:tc>
        <w:tc>
          <w:tcPr>
            <w:tcW w:type="dxa" w:w="2160"/>
          </w:tcPr>
          <w:p>
            <w:r>
              <w:t>Borner T, Shaulson ED, Ghidewon MY, Barnett AB, Horn CC, Andreoli A, et al. GDF15 induces anorexia through nausea and emesis. Cell Metab. 2020.</w:t>
            </w:r>
          </w:p>
        </w:tc>
        <w:tc>
          <w:tcPr>
            <w:tcW w:type="dxa" w:w="2160"/>
          </w:tcPr>
          <w:p>
            <w:r>
              <w:t>Suncus murinus, mice and lean/obese rats (in vivo)</w:t>
            </w:r>
          </w:p>
        </w:tc>
        <w:tc>
          <w:tcPr>
            <w:tcW w:type="dxa" w:w="2160"/>
          </w:tcPr>
          <w:p>
            <w:r>
              <w:t>Across three mammalian species, GDF15 acting via hindbrain GFRAL–RET induces emesis in Suncus murinus and nausea/malaise-like behaviors (anorexia, pica) in non-emetic species, indicating that GFRAL engagement recruits emetic neurocircuitry to suppress food intake.</w:t>
            </w:r>
          </w:p>
        </w:tc>
      </w:tr>
      <w:tr>
        <w:tc>
          <w:tcPr>
            <w:tcW w:type="dxa" w:w="2160"/>
          </w:tcPr>
          <w:p>
            <w:r>
              <w:t>[15]</w:t>
            </w:r>
          </w:p>
        </w:tc>
        <w:tc>
          <w:tcPr>
            <w:tcW w:type="dxa" w:w="2160"/>
          </w:tcPr>
          <w:p>
            <w:r>
              <w:t>Suriben R, Chen M, Higbee J, Howell D, O'Neill P, Smith J, et al. Antibody-mediated inhibition of GDF15-GFRAL activity reverses cancer cachexia in mice. Nat Med. 2020.</w:t>
            </w:r>
          </w:p>
        </w:tc>
        <w:tc>
          <w:tcPr>
            <w:tcW w:type="dxa" w:w="2160"/>
          </w:tcPr>
          <w:p>
            <w:r>
              <w:t>Tumor-bearing mice / anti-GFRAL monoclonal antibody (3P10)</w:t>
            </w:r>
          </w:p>
        </w:tc>
        <w:tc>
          <w:tcPr>
            <w:tcW w:type="dxa" w:w="2160"/>
          </w:tcPr>
          <w:p>
            <w:r>
              <w:t>Anti-GFRAL mAb 3P10 blocks GDF15–GFRAL–RET signaling and reverses cancer cachexia by suppressing a peripheral sympathetic lipolytic axis in adipose tissue that requires ATGL, preserving muscle mass and function even under caloric restriction.</w:t>
            </w:r>
          </w:p>
        </w:tc>
      </w:tr>
      <w:tr>
        <w:tc>
          <w:tcPr>
            <w:tcW w:type="dxa" w:w="2160"/>
          </w:tcPr>
          <w:p>
            <w:r>
              <w:t>[12]</w:t>
            </w:r>
          </w:p>
        </w:tc>
        <w:tc>
          <w:tcPr>
            <w:tcW w:type="dxa" w:w="2160"/>
          </w:tcPr>
          <w:p>
            <w:r>
              <w:t>Steadman T, Venhoff N, Reinhardt-Schipper A, Chen S, Linge S, Schildhaus HU, et al. Aberrant fumarate metabolism links interferon release in diffuse systemic sclerosis. J Dermatol Sci. 2025.</w:t>
            </w:r>
          </w:p>
        </w:tc>
        <w:tc>
          <w:tcPr>
            <w:tcW w:type="dxa" w:w="2160"/>
          </w:tcPr>
          <w:p>
            <w:r>
              <w:t>CD14⁺ monocytes from diffuse systemic sclerosis patients and healthy controls / in vitro monocyte assays</w:t>
            </w:r>
          </w:p>
        </w:tc>
        <w:tc>
          <w:tcPr>
            <w:tcW w:type="dxa" w:w="2160"/>
          </w:tcPr>
          <w:p>
            <w:r>
              <w:t>The mitochondrial-stress marker GDF15 is significantly elevated in CD14⁺ monocytes from patients with diffuse systemic sclerosis, alongside reduced fumarate hydratase and cGAS–STING-driven type I interferon release.</w:t>
            </w:r>
          </w:p>
        </w:tc>
      </w:tr>
      <w:tr>
        <w:tc>
          <w:tcPr>
            <w:tcW w:type="dxa" w:w="2160"/>
          </w:tcPr>
          <w:p>
            <w:r>
              <w:t>[18]</w:t>
            </w:r>
          </w:p>
        </w:tc>
        <w:tc>
          <w:tcPr>
            <w:tcW w:type="dxa" w:w="2160"/>
          </w:tcPr>
          <w:p>
            <w:r>
              <w:t>Osada M, Park HL, Park MJ, Liu JW, Wu G, Trink B, et al. A p53-type response element in the GDF15 promoter confers high specificity for p53 activation. Biochem Biophys Res Commun. 2007.</w:t>
            </w:r>
          </w:p>
        </w:tc>
        <w:tc>
          <w:tcPr>
            <w:tcW w:type="dxa" w:w="2160"/>
          </w:tcPr>
          <w:p>
            <w:r>
              <w:t>Reporter gene assays and DNA-binding analyses (in vitro)</w:t>
            </w:r>
          </w:p>
        </w:tc>
        <w:tc>
          <w:tcPr>
            <w:tcW w:type="dxa" w:w="2160"/>
          </w:tcPr>
          <w:p>
            <w:r>
              <w:t>The GDF15 promoter harbors two p53-type response elements (RE1, RE2), with RE2 conferring p53-specific transactivation because mismatches in its 3′ quarter-site reduce p63 and p73 binding affinity.</w:t>
            </w:r>
          </w:p>
        </w:tc>
      </w:tr>
      <w:tr>
        <w:tc>
          <w:tcPr>
            <w:tcW w:type="dxa" w:w="2160"/>
          </w:tcPr>
          <w:p>
            <w:r>
              <w:t>[19]</w:t>
            </w:r>
          </w:p>
        </w:tc>
        <w:tc>
          <w:tcPr>
            <w:tcW w:type="dxa" w:w="2160"/>
          </w:tcPr>
          <w:p>
            <w:r>
              <w:t>Ichikawa T, Suenaga Y, Koda T, Ozaki T, Nakagawara A. TAp63-dependent induction of growth differentiation factor 15 (GDF15) plays a critical role in the regulation of keratinocyte differentiation. Oncogene. 2008.</w:t>
            </w:r>
          </w:p>
        </w:tc>
        <w:tc>
          <w:tcPr>
            <w:tcW w:type="dxa" w:w="2160"/>
          </w:tcPr>
          <w:p>
            <w:r>
              <w:t>HaCaT human keratinocyte cell line (siRNA, ChIP, reporter assays)</w:t>
            </w:r>
          </w:p>
        </w:tc>
        <w:tc>
          <w:tcPr>
            <w:tcW w:type="dxa" w:w="2160"/>
          </w:tcPr>
          <w:p>
            <w:r>
              <w:t>TAp63α directly binds a p53/p63 site in the GDF15 promoter to drive GDF15 expression, which is required for induction of the keratinocyte differentiation markers keratin 10 and involucrin.</w:t>
            </w:r>
          </w:p>
        </w:tc>
      </w:tr>
      <w:tr>
        <w:tc>
          <w:tcPr>
            <w:tcW w:type="dxa" w:w="2160"/>
          </w:tcPr>
          <w:p>
            <w:r>
              <w:t>[20]</w:t>
            </w:r>
          </w:p>
        </w:tc>
        <w:tc>
          <w:tcPr>
            <w:tcW w:type="dxa" w:w="2160"/>
          </w:tcPr>
          <w:p>
            <w:r>
              <w:t>Li J, Yang L, Qin W, Zhang G, Yuan J, Wang F. Adaptive induction of growth differentiation factor 15 attenuates endothelial cell apoptosis in response to high glucose stimulus. PLoS One. 2013.</w:t>
            </w:r>
          </w:p>
        </w:tc>
        <w:tc>
          <w:tcPr>
            <w:tcW w:type="dxa" w:w="2160"/>
          </w:tcPr>
          <w:p>
            <w:r>
              <w:t>Human umbilical vein endothelial cells (HUVECs, in vitro)</w:t>
            </w:r>
          </w:p>
        </w:tc>
        <w:tc>
          <w:tcPr>
            <w:tcW w:type="dxa" w:w="2160"/>
          </w:tcPr>
          <w:p>
            <w:r>
              <w:t>High glucose induces GDF15 expression and secretion in HUVECs via ROS- and p53-dependent mechanisms, and adaptively induced GDF15 attenuates high-glucose-induced endothelial apoptosis through PI3K/Akt/eNOS activation and NF-κB/JNK inhibition.</w:t>
            </w:r>
          </w:p>
        </w:tc>
      </w:tr>
      <w:tr>
        <w:tc>
          <w:tcPr>
            <w:tcW w:type="dxa" w:w="2160"/>
          </w:tcPr>
          <w:p>
            <w:r>
              <w:t>[4]</w:t>
            </w:r>
          </w:p>
        </w:tc>
        <w:tc>
          <w:tcPr>
            <w:tcW w:type="dxa" w:w="2160"/>
          </w:tcPr>
          <w:p>
            <w:r>
              <w:t>Bootcov MR, Bauskin AR, Valenzuela SM, Moore AG, Bansal M, He XY, et al. MIC-1, a novel macrophage inhibitory cytokine, is a divergent member of the TGF-beta superfamily. Proc Natl Acad Sci U S A. 1997.</w:t>
            </w:r>
          </w:p>
        </w:tc>
        <w:tc>
          <w:tcPr>
            <w:tcW w:type="dxa" w:w="2160"/>
          </w:tcPr>
          <w:p>
            <w:r>
              <w:t>Activated monocytoid cells and recombinant CHO expression system (in vitro)</w:t>
            </w:r>
          </w:p>
        </w:tc>
        <w:tc>
          <w:tcPr>
            <w:tcW w:type="dxa" w:w="2160"/>
          </w:tcPr>
          <w:p>
            <w:r>
              <w:t>MIC-1/GDF15 was identified by subtraction cloning as a divergent TGF-β superfamily cytokine upregulated in activated macrophages by IL-1β, TNF-α, IL-2 and M-CSF, and recombinant MIC-1 inhibits LPS-induced macrophage TNF-α production.</w:t>
            </w:r>
          </w:p>
        </w:tc>
      </w:tr>
      <w:tr>
        <w:tc>
          <w:tcPr>
            <w:tcW w:type="dxa" w:w="2160"/>
          </w:tcPr>
          <w:p>
            <w:r>
              <w:t>[21]</w:t>
            </w:r>
          </w:p>
        </w:tc>
        <w:tc>
          <w:tcPr>
            <w:tcW w:type="dxa" w:w="2160"/>
          </w:tcPr>
          <w:p>
            <w:r>
              <w:t>Sabaratnam R, Pedersen AJT, Løvind A, Thybo J, Helge JW, Dela F, et al. Acute exercise increases GDF15 and unfolded protein response/integrated stress response in muscle in type 2 diabetes. J Clin Endocrinol Metab. 2024.</w:t>
            </w:r>
          </w:p>
        </w:tc>
        <w:tc>
          <w:tcPr>
            <w:tcW w:type="dxa" w:w="2160"/>
          </w:tcPr>
          <w:p>
            <w:r>
              <w:t>Human clinical study: men with type 2 diabetes vs weight-matched glucose-tolerant controls; skeletal muscle biopsies and serum</w:t>
            </w:r>
          </w:p>
        </w:tc>
        <w:tc>
          <w:tcPr>
            <w:tcW w:type="dxa" w:w="2160"/>
          </w:tcPr>
          <w:p>
            <w:r>
              <w:t>Acute exercise elevates skeletal-muscle GDF15 expression and serum GDF15 in both T2D men and controls, alongside induction of UPR/ISR markers (ATF4, CHOP, PERK, GADD34), establishing GDF15 as an exercise-induced ISR-linked myokine.</w:t>
            </w:r>
          </w:p>
        </w:tc>
      </w:tr>
      <w:tr>
        <w:tc>
          <w:tcPr>
            <w:tcW w:type="dxa" w:w="2160"/>
          </w:tcPr>
          <w:p>
            <w:r>
              <w:t>[16]</w:t>
            </w:r>
          </w:p>
        </w:tc>
        <w:tc>
          <w:tcPr>
            <w:tcW w:type="dxa" w:w="2160"/>
          </w:tcPr>
          <w:p>
            <w:r>
              <w:t>Flaherty SE, Sako K, Aydogdu T, Huang Z, Summers J, Yan H, et al. GDF15 neutralization ameliorates muscle atrophy and exercise intolerance in a mouse model of mitochondrial myopathy. J Cachexia Sarcopenia Muscle. 2025.</w:t>
            </w:r>
          </w:p>
        </w:tc>
        <w:tc>
          <w:tcPr>
            <w:tcW w:type="dxa" w:w="2160"/>
          </w:tcPr>
          <w:p>
            <w:r>
              <w:t>Polg^D257A/D257A proofreading-deficient mitochondrial myopathy mice / in vivo GDF15 neutralizing antibody (mAB2)</w:t>
            </w:r>
          </w:p>
        </w:tc>
        <w:tc>
          <w:tcPr>
            <w:tcW w:type="dxa" w:w="2160"/>
          </w:tcPr>
          <w:p>
            <w:r>
              <w:t>In Polg^D257A mice with elevated circulating GDF15, muscle atrophy, exercise intolerance and premature aging, 12 weeks of weekly GDF15 neutralization with mAB2 ameliorates muscle wasting and improves physical performance.</w:t>
            </w:r>
          </w:p>
        </w:tc>
      </w:tr>
      <w:tr>
        <w:tc>
          <w:tcPr>
            <w:tcW w:type="dxa" w:w="2160"/>
          </w:tcPr>
          <w:p>
            <w:r>
              <w:t>[22]</w:t>
            </w:r>
          </w:p>
        </w:tc>
        <w:tc>
          <w:tcPr>
            <w:tcW w:type="dxa" w:w="2160"/>
          </w:tcPr>
          <w:p>
            <w:r>
              <w:t>Favero-Santos BC, Freire-Benéitez V, Camelo G, Garcia RR, Souza KLF, Pesquero JB, et al. GDF15 modulates mitochondrial content and differentiation-associated metabolic remodeling in skeletal muscle cells. Am J Physiol Endocrinol Metab. 2026.</w:t>
            </w:r>
          </w:p>
        </w:tc>
        <w:tc>
          <w:tcPr>
            <w:tcW w:type="dxa" w:w="2160"/>
          </w:tcPr>
          <w:p>
            <w:r>
              <w:t>C2C12 myoblasts (siRNA/overexpression), C57BL/6 mice (exercise training), and transcriptomic/bioinformatic analyses</w:t>
            </w:r>
          </w:p>
        </w:tc>
        <w:tc>
          <w:tcPr>
            <w:tcW w:type="dxa" w:w="2160"/>
          </w:tcPr>
          <w:p>
            <w:r>
              <w:t>Gdf15 expression rises during C2C12 myogenic differentiation in parallel with mitochondrial biogenesis; Gdf15 knockdown reduces mitochondrial markers and increases lactate/apoptosis, while overexpression enhances PGC1α transactivation and PPAR response-element activity via PPARδ and ERRα.</w:t>
            </w:r>
          </w:p>
        </w:tc>
      </w:tr>
    </w:tbl>
    <w:p>
      <w:pPr>
        <w:pStyle w:val="Heading1"/>
      </w:pPr>
      <w:r>
        <w:t>References</w:t>
      </w:r>
    </w:p>
    <w:p>
      <w:r>
        <w:t>[1] Sigvardsen CM, Richter MM, Engelbeen S, Kleinert M, Richter EA. GDF15 is still a mystery hormone. Trends Endocrinol Metab. 2025;36(6):591-601. doi:10.1016/j.tem.2024.09.002 PMID: 39472228</w:t>
      </w:r>
    </w:p>
    <w:p>
      <w:r>
        <w:t>[2] Siddiqui JA, Pothuraju R, Khan P, Sharma G, Muniyan S, Seshacharyulu P, et al. Pathophysiological role of growth differentiation factor 15 (GDF15) in obesity, cancer, and cachexia. Cytokine Growth Factor Rev. 2022;64:71-83. doi:10.1016/j.cytogfr.2021.11.002 PMID: 34836750</w:t>
      </w:r>
    </w:p>
    <w:p>
      <w:r>
        <w:t>[3] Breit SN, Brown DA, Tsai VW. The GDF15-GFRAL Pathway in Health and Metabolic Disease: Friend or Foe?. Annu Rev Physiol. 2021;83:127-151. doi:10.1146/annurev-physiol-022020-045449 PMID: 33228454</w:t>
      </w:r>
    </w:p>
    <w:p>
      <w:r>
        <w:t>[4] Bootcov MR, Bauskin AR, Valenzuela SM, Moore AG, Bansal M, He XY, et al. MIC-1, a novel macrophage inhibitory cytokine, is a divergent member of the TGF-beta superfamily. Proc Natl Acad Sci U S A. 1997;94(21):11514-9. doi:10.1073/pnas.94.21.11514 PMID: 9326641</w:t>
      </w:r>
    </w:p>
    <w:p>
      <w:r>
        <w:t>[5] Wang D, Day EA, Townsend LK, Djordjevic D, Jørgensen SB, Steinberg GR. GDF15: emerging biology and therapeutic applications for obesity and cardiometabolic disease. Nat Rev Endocrinol. 2021;17(10):592-607. doi:10.1038/s41574-021-00529-7 PMID: 34381196</w:t>
      </w:r>
    </w:p>
    <w:p>
      <w:r>
        <w:t>[6] Lockhart SM, Saudek V, O'Rahilly S. GDF15: A Hormone Conveying Somatic Distress to the Brain. Endocr Rev. 2020;41(4):bnaa007. doi:10.1210/endrev/bnaa007 PMID: 32310257</w:t>
      </w:r>
    </w:p>
    <w:p>
      <w:r>
        <w:t>[7] Di Santo A, Tarchi L, Villa G, Castellini G, Ricca V, Squecco R, et al. GDF15 Analogues Acting as GFRAL Ligands. ChemMedChem. 2025;20(9):e202400961. doi:10.1002/cmdc.202400961 PMID: 39907315</w:t>
      </w:r>
    </w:p>
    <w:p>
      <w:r>
        <w:t>[8] Salminen A. GDF15/MIC-1: a stress-induced immunosuppressive factor which promotes the aging process. Biogerontology. 2024;26(1):19. doi:10.1007/s10522-024-10164-0 PMID: 39643709</w:t>
      </w:r>
    </w:p>
    <w:p>
      <w:r>
        <w:t>[9] Zhang P, Liu Y, Yang H, Li J, Fan G, Bai H, et al. Inhibition of GDF15/GFRAL: A novel opportunity for the treatment of solid tumors. Int Immunopharmacol. 2026;170:116109. doi:10.1016/j.intimp.2025.116109 PMID: 41455368</w:t>
      </w:r>
    </w:p>
    <w:p>
      <w:r>
        <w:t>[10] Chiariello A, Valente S, Pasquinelli G, Baracca A, Sgarbi G, Solaini G, et al. The expression pattern of GDF15 in human brain changes during aging and in Alzheimer's disease. Front Aging Neurosci. 2022;14:1058665. doi:10.3389/fnagi.2022.1058665 PMID: 36698863</w:t>
      </w:r>
    </w:p>
    <w:p>
      <w:r>
        <w:t>[11] Borner T, Shaulson ED, Ghidewon MY, Barnett AB, Horn CC, Doyle RP, et al. GDF15 Induces Anorexia through Nausea and Emesis. Cell Metab. 2020;31(2):351-362.e5. doi:10.1016/j.cmet.2019.12.004 PMID: 31928886</w:t>
      </w:r>
    </w:p>
    <w:p>
      <w:r>
        <w:t>[12] Steadman T, O'Reilly S. Aberrant fumarate metabolism links interferon release in diffuse systemic sclerosis. J Dermatol Sci. 2025;117(2):30-35. doi:10.1016/j.jdermsci.2025.01.002 PMID: 39827047</w:t>
      </w:r>
    </w:p>
    <w:p>
      <w:r>
        <w:t>[13] Han C, Zhang Z, Song Y. Mitochondrial Dysfunction as a Central Hub of Aging: From Molecular Cascades to Inter-Organ Communication Networks. Gerontology. 2026:1-21. doi:10.1159/000553430 PMID: 42607021</w:t>
      </w:r>
    </w:p>
    <w:p>
      <w:r>
        <w:t>[14] Wang D, Townsend LK, DesOrmeaux GJ, Frangos SM, Batchuluun B, Dumont L, et al. GDF15 promotes weight loss by enhancing energy expenditure in muscle. Nature. 2023;619(7968):143-150. doi:10.1038/s41586-023-06249-4 PMID: 37380764</w:t>
      </w:r>
    </w:p>
    <w:p>
      <w:r>
        <w:t>[15] Suriben R, Chen M, Higbee J, Oeffinger J, Ventura R, Li B, et al. Antibody-mediated inhibition of GDF15-GFRAL activity reverses cancer cachexia in mice. Nat Med. 2020;26(8):1264-1270. doi:10.1038/s41591-020-0945-x PMID: 32661391</w:t>
      </w:r>
    </w:p>
    <w:p>
      <w:r>
        <w:t>[16] Flaherty SE, Song L, Albuquerque B, Rinaldi A, Piper M, Shanthappa DH, et al. GDF15 Neutralization Ameliorates Muscle Atrophy and Exercise Intolerance in a Mouse Model of Mitochondrial Myopathy. J Cachexia Sarcopenia Muscle. 2025;16(1):e13715. doi:10.1002/jcsm.13715 PMID: 39976232</w:t>
      </w:r>
    </w:p>
    <w:p>
      <w:r>
        <w:t>[17] Fairlie WD, Moore AG, Bauskin AR, Russell PK, Zhang HP, Breit SN. MIC-1 is a novel TGF-beta superfamily cytokine associated with macrophage activation. J Leukoc Biol. 1999;65(1):2-5. doi:10.1002/jlb.65.1.2 PMID: 9886240</w:t>
      </w:r>
    </w:p>
    <w:p>
      <w:r>
        <w:t>[18] Osada M, Park HL, Park MJ, Liu JW, Wu G, Trink B, et al. A p53-type response element in the GDF15 promoter confers high specificity for p53 activation. Biochem Biophys Res Commun. 2007;354(4):913-8. doi:10.1016/j.bbrc.2007.01.089 PMID: 17276395</w:t>
      </w:r>
    </w:p>
    <w:p>
      <w:r>
        <w:t>[19] Ichikawa T, Suenaga Y, Koda T, Ozaki T, Nakagawara A. TAp63-dependent induction of growth differentiation factor 15 (GDF15) plays a critical role in the regulation of keratinocyte differentiation. Oncogene. 2008;27(4):409-20. doi:10.1038/sj.onc.1210658 PMID: 17637746</w:t>
      </w:r>
    </w:p>
    <w:p>
      <w:r>
        <w:t>[20] Li J, Yang L, Qin W, Zhang G, Yuan J, Wang F. Adaptive induction of growth differentiation factor 15 attenuates endothelial cell apoptosis in response to high glucose stimulus. PLoS One. 2013;8(6):e65549. doi:10.1371/journal.pone.0065549 PMID: 23799024</w:t>
      </w:r>
    </w:p>
    <w:p>
      <w:r>
        <w:t>[21] Sabaratnam R, Kristensen JM, Pedersen AJT, Kruse R, Handberg A, Wojtaszewski JFP, et al. Acute Exercise Increases GDF15 and Unfolded Protein Response/Integrated Stress Response in Muscle in Type 2 Diabetes. J Clin Endocrinol Metab. 2024;109(7):1754-1764. doi:10.1210/clinem/dgae032 PMID: 38242693</w:t>
      </w:r>
    </w:p>
    <w:p>
      <w:r>
        <w:t>[22] Favero-Santos BC, Lazaro CM, Kim JT, Guimarães DSPSF, Barrios NMF, Gomes LB, et al. GDF15 modulates mitochondrial content and differentiation-associated metabolic remodeling in skeletal muscle cells. Am J Physiol Endocrinol Metab. 2026;331(3):E363-E378. doi:10.1152/ajpendo.00438.2025 PMID: 42530072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