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for multi-omics data integration and analysis: a systematic and critical comparison of frameworks, packages, workflows and platforms, with EasyMultiProfiler as a featured workflow for microbiome research</w:t>
      </w:r>
    </w:p>
    <w:p>
      <w:r>
        <w:rPr>
          <w:i/>
        </w:rPr>
        <w:t>Drafted with Agent Hub (minimax-cn/MiniMax-M3); references retrieved from PubMed; peer-reviewed by three Agent Hub reviewer subagents and revised.</w:t>
      </w:r>
    </w:p>
    <w:p>
      <w:pPr>
        <w:pStyle w:val="Heading1"/>
      </w:pPr>
      <w:r>
        <w:t>Abstract</w:t>
      </w:r>
    </w:p>
    <w:p>
      <w:r>
        <w:t>The proliferation of host-microbiome multi-omics studies across nearly every major disease area has made integration a defining methodological challenge of contemporary systems biology, yet the operational reality beneath this descriptive success is sobering: many so-called integrative studies analyse each layer independently and tabulate results side by side rather than modelling them jointly, while reproducibility remains fragile because analytical choices are buried in bespoke scripts. This review systematically and critically compares four purpose-built frameworks — the Analyst suite, timeOmics, SUMO and EasyMultiProfiler (EMP) — that occupy distinct, non-overlapping niches, from web-based knowledge- and data-driven integration of host omics layers, through generic longitudinal multi-modal pipelines, to multi-omics simulation, and finally to the only microbiome-specific workflow in the set. We organise the comparison along three orthogonal axes: fusion level (early, intermediate and late integration), supervision (treated as a continuum rather than a dichotomy), and the temporal dimension. We argue that EMP's principled embedding in SummarizedExperiment and MultiAssayExperiment, its five-module structure spanning extraction, preparation, support, analysis and visualisation, and its explicit microbiome focus address a real gap left by the other three tools. We state candidly that EMP is a microbiome workflow rather than a general-purpose solution and that its outputs remain conditional on curated defaults that have not been independently benchmarked. We close by proposing operational definitions anchored to the algebraic operation performed, as a prerequisite for meaningful future benchmarking.</w:t>
      </w:r>
    </w:p>
    <w:p>
      <w:r>
        <w:rPr>
          <w:b/>
        </w:rPr>
        <w:t xml:space="preserve">Keywords: </w:t>
      </w:r>
      <w:r>
        <w:t>Multi-omics integration; Microbiome research; EasyMultiProfiler; Software benchmarking; Reproducibility; Longitudinal analysis</w:t>
      </w:r>
    </w:p>
    <w:p>
      <w:pPr>
        <w:pStyle w:val="Heading1"/>
      </w:pPr>
      <w:r>
        <w:t>1. Introduction: the multi-omics integration imperative and the software gap</w:t>
      </w:r>
    </w:p>
    <w:p>
      <w:r>
        <w:t>The proliferation of host-microbiome multi-omics studies across nearly every major disease area has made integration a defining methodological challenge of contemporary systems biology. In pulmonary disease, integrative analyses of bulk, single-cell and spatial transcriptomics with peripheral blood profiling have supported a causal gut–immune–lung axis in idiopathic pulmonary fibrosis through Mendelian randomization and nominated a four-gene signature comprising CXCL13, IL33, TLR4 and IGF1 [1]. Cardiovascular research has interrogated six microbiome and eight host blood transcriptomic datasets to identify microbe–metabolite–host gene tripartite associations in atherosclerosis, although the authors themselves flag methodological heterogeneity and the lack of consensus signatures across studies [2]. Neurodevelopmental and neurodegenerative disorders are following the same trajectory: integrative 16S, metaproteomic, metabolomic and host proteomic profiling in thirty children with severe autism and controls has linked Tyzzerella enrichment and Bifidobacterium- and Klebsiella-derived metaproteins to altered neurotransmitters [3], while in Alzheimer's disease the combination of plasma proteomics, metabolomics and gut and saliva metagenomics from 87 well-phenotyped patients has yielded composite predictors of dementia severity, including SKAP1, NEFL, homovanillate, glutamate and Paraprevotella clara, validated through artificial-intelligence-based models [4]. Oncology is not far behind: parallel microbial, transcriptomic and metabolomic profiling of tumour and adjacent tissue from 50 glioma patients has connected intratumoral bacteria to synapse-associated host genes and to bacterial-associated metabolites through mediation analysis [5]. Even within a single condition, the inflammatory bowel disease and irritable bowel syndrome literatures demonstrate that cross-cohort integration of nine metagenomic and four metabolomic cohorts [6], multi-omic profiling of 495 subjects [7] and longitudinal integration of microbiome, metabolome, epigenome and transcriptome layers in an application cohort [8] are now considered baseline rather than exceptional.</w:t>
      </w:r>
    </w:p>
    <w:p>
      <w:r>
        <w:t>Yet the operational reality beneath this descriptive success is sobering. The label "multi-omics" is still routinely applied to studies in which each layer is analysed independently and the results tabulated side by side rather than modelled jointly. In several of the examples above, integration is reduced to correlation of pre-computed feature lists, mediation testing of a handful of candidates, or machine-learning classifiers trained on concatenated matrices, none of which formally captures the dependence structures that motivate multi-omics in the first place. The intellectual leap from parallel inspection to joint inference is non-trivial, and the methodological pluralism is large enough that the field is recognisably constrained by methodological heterogeneity across studies [2], by inconsistent sample coverage and heterogeneous data formats [9] and by the absence of consensus signatures [2]. Reproducibility is correspondingly fragile: re-running a published pipeline against the same inputs frequently yields divergent conclusions because data wrangling, normalisation, transformation and feature-selection choices are buried in bespoke scripts and undocumented parameter settings, with no widely adopted container, dependency-pinning, workflow-manager or test-coverage conventions enforced across the integration literature. The result is a literature in which impressive cohort sizes and sophisticated wet-lab procedures sit atop surprisingly fragile computational infrastructure.</w:t>
      </w:r>
    </w:p>
    <w:p>
      <w:r>
        <w:t>This is the software gap that purpose-built integration tooling must address. Single-omics pipelines are exquisitely tuned for their own assays but offer no principled way to harmonise feature spaces, handle missing modalities, align longitudinal sampling or propagate uncertainty across layers. Several frameworks occupy parts of this niche. The Analyst suite provides web-based entry points for single-omics analysis, knowledge-driven network integration and data-driven joint dimensionality reduction across transcriptomics, proteomics, lipidomics and metabolomics [10]. timeOmics extends the Bioconductor ecosystem with a generic framework for longitudinal multi-modal data, including pre-processing, modelling and clustering [11]. Outside analysis itself, SUMO targets the benchmarking deficit by simulating multi-omics datasets with controllable latent structure and noise [12]; simulation is methodologically necessary but cannot substitute for an end-to-end workflow. Among more widely used engines outside the present evidence base, MOFA and its successors, mixOmics with its supervised extension DIABLO, the nf-core pipeline collections, and microbiome-oriented platforms such as Anvi'o, QIIME 2 and TreeSummarizedExperiment all occupy adjacent niches in the broader integration ecosystem, but their detailed comparison with EMP lies beyond what the available evidence base can adjudicate. Within microbiome research specifically, EasyMultiProfiler (EMP) is a recent workflow that organises microbiome multi-omics analysis into five modules — data extraction, preparation, support, analysis and visualisation — built on the SummarizedExperiment and MultiAssayExperiment data classes [9]. EMP provides an explicit microbiome focus, but its scope does not extend to a general solution to multi-omics integration.</w:t>
      </w:r>
    </w:p>
    <w:p>
      <w:r>
        <w:t>That scope limitation can be specified in terms of the four tools for which evidence is available. The Analyst suite, timeOmics, SUMO and EMP are not direct functional peers: the Analyst suite is web-based and oriented toward transcriptomics, proteomics, lipidomics and metabolomics rather than microbiome data; timeOmics is restricted to longitudinal designs; SUMO is a simulator rather than an end-to-end pipeline; and EMP is the only microbiome-specific workflow in the set. Within EMP's own scope, its outputs remain conditional on the curated defaults and example datasets it ships with, and no peer-reviewed evidence in the present base has benchmarked these defaults against alternatives — a caveat that, in different forms, applies to every framework above but is rarely quantified in the original reports. The prior ecosystem has not yet addressed microbiome-specific needs with the same depth it has brought to single-omics or to general multi-omics integration; EMP documents one workflow for that domain without thereby closing the integration problem.</w:t>
      </w:r>
    </w:p>
    <w:p>
      <w:pPr>
        <w:pStyle w:val="Heading1"/>
      </w:pPr>
      <w:r>
        <w:t>2. A taxonomy of integration strategies: unsupervised, supervised, and the longitudinal dimension</w:t>
      </w:r>
    </w:p>
    <w:p>
      <w:r>
        <w:t>Integration strategies for multi-omics data are commonly partitioned into three operational levels along the analytical pipeline. Early integration concatenates features from different omics layers into a single matrix that is then fed to a downstream algorithm, thereby allowing models to learn cross-layer interactions at the cost of forcing heterogeneous measurements into a common scale and amplifying batch effects. Intermediate integration projects each omic block into a shared latent space using joint dimensionality reduction — canonical examples include partial least squares variants, multi-omics factor analysis and related matrix-factorisation approaches [10] — which preserves block structure while still enabling co-variation discovery. Late integration analyses each omic layer independently and reconciles the results post hoc, through correlation networks, meta-analysis of feature-level statistics, or hierarchical aggregation of per-block predictions. These categories are useful pedagogically but rarely sufficient as a methodological taxonomy, because many algorithms traverse more than one level or, more troublingly, are mislabelled by their authors.</w:t>
      </w:r>
    </w:p>
    <w:p>
      <w:r>
        <w:t>A second axis cuts orthogonal to the fusion level: whether integration is supervised by an external phenotype (diagnosis, severity, time-to-event) or unsupervised and purely data-driven. Supervised pipelines — exemplified by random-forest classifiers that consume a concatenated multi-omics feature matrix — have been applied to distinguish clinical subtypes such as IBS bowel-habit phenotypes [7]. Such models optimise prediction but inherit the instabilities of feature selection on high-dimensional multi-omics data, including unstable variable importance and limited biological interpretability — caveats that apply across the supervised family rather than to any single application. Unsupervised pipelines prioritise structure discovery but leave the user to judge which clusters or latent dimensions are meaningful. In practice the boundary is porous: PLS-discriminant variants are supervised in intent yet perform an operation mathematically close to unsupervised PCA; factor-based models are unsupervised yet routinely interrogated by regressing latent factors against covariates. The boundary is, in short, a continuum rather than a clean dichotomy, and it is common to encounter nominally different tools whose statistical backbones are recognisably the same [9, 10, 11].</w:t>
      </w:r>
    </w:p>
    <w:p>
      <w:r>
        <w:t>A third, often under-emphasised dimension is time. The timeOmics framework is described as a generic analytical pipeline — preprocessing, modelling and clustering — for longitudinal multi-omics integration, illustrated on a diabetes cohort that combines mRNA, metabolites, gut taxa and clinical variables [11]. The package operates block-wise before any cross-block fusion: features are modelled within each omic layer, their trajectories are clustered, and the resulting clusters then serve as higher-level units whose behaviour can be tracked over time. This is intermediate integration in spirit, even if the underlying statistical primitives are well-established. The framework is conceptually appealing because it provides an explicit time axis, but the clustering step is unsupervised and the resulting cluster definitions are conditional on upstream choices about how trajectories are modelled and how similarity between them is measured [11]. The same caveat applies, with appropriate substitution of variables, to the other frameworks surveyed here: outputs are conditional on the choices made upstream, and no tool in the set removes the analyst's obligation to defend those choices.</w:t>
      </w:r>
    </w:p>
    <w:p>
      <w:r>
        <w:t>The need to accommodate a temporal dimension is not theoretical. The longitudinal IBS study integrated microbiome, metabolome, host epigenome and transcriptome data across multiple time points and identified subtype-specific host–microbe metabolic pathways, including purine metabolism, that would be invisible to a single-snapshot analysis [8]. The longitudinal design was instrumental in surfacing these subtype-specific pathways, but it did so at the price of increased modelling assumptions, smaller effective sample sizes per time point, and a heavier dependence on the correctness of the underlying mixed models.</w:t>
      </w:r>
    </w:p>
    <w:p>
      <w:r>
        <w:t>The deeper concern is that the proliferation of integration strategies has outpaced the vocabulary used to describe them. Authors frequently advertise methods as "data-driven" or "knowledge-based" without specifying whether the operation performed is concatenation, factorisation, graph fusion or post-hoc meta-analysis, and the gap between marketing and mechanism has real consequences for reproducibility [9, 10]. The methodological challenge is well recognised — inconsistent sample coverage, heterogeneous data formats and complex analytical workflows are cited as obstacles to routine integration [9] — but the community has not converged on definitions anchored to the algebraic operation performed rather than the biological narrative. Until it does, the apparent diversity of integration software will continue to obscure what is in practice a much smaller underlying set of statistical primitives, and any systematic comparison of integration software will be forced to impose its own operational definitions to make sense of the landscape.</w:t>
      </w:r>
    </w:p>
    <w:p>
      <w:pPr>
        <w:pStyle w:val="Heading1"/>
      </w:pPr>
      <w:r>
        <w:t>Table 1. Multi-omics analysis software compared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Tool (type)</w:t>
            </w:r>
          </w:p>
        </w:tc>
        <w:tc>
          <w:tcPr>
            <w:tcW w:type="dxa" w:w="2160"/>
          </w:tcPr>
          <w:p>
            <w:r>
              <w:t>Strengths</w:t>
            </w:r>
          </w:p>
        </w:tc>
        <w:tc>
          <w:tcPr>
            <w:tcW w:type="dxa" w:w="2160"/>
          </w:tcPr>
          <w:p>
            <w:r>
              <w:t>Limitations</w:t>
            </w:r>
          </w:p>
        </w:tc>
      </w:tr>
      <w:tr>
        <w:tc>
          <w:tcPr>
            <w:tcW w:type="dxa" w:w="2160"/>
          </w:tcPr>
          <w:p>
            <w:r>
              <w:t>[9]</w:t>
            </w:r>
          </w:p>
        </w:tc>
        <w:tc>
          <w:tcPr>
            <w:tcW w:type="dxa" w:w="2160"/>
          </w:tcPr>
          <w:p>
            <w:r>
              <w:t>EasyMultiProfiler (EMP) — R workflow</w:t>
            </w:r>
          </w:p>
        </w:tc>
        <w:tc>
          <w:tcPr>
            <w:tcW w:type="dxa" w:w="2160"/>
          </w:tcPr>
          <w:p>
            <w:r>
              <w:t>Standardised microbiome multi-omics pipeline built on SummarizedExperiment/MultiAssayExperiment with five end-to-end modules.</w:t>
            </w:r>
          </w:p>
        </w:tc>
        <w:tc>
          <w:tcPr>
            <w:tcW w:type="dxa" w:w="2160"/>
          </w:tcPr>
          <w:p>
            <w:r>
              <w:t>Microbiome-centric; inherits Bioconductor learning curve and limited support for non-microbiome modalities.</w:t>
            </w:r>
          </w:p>
        </w:tc>
      </w:tr>
      <w:tr>
        <w:tc>
          <w:tcPr>
            <w:tcW w:type="dxa" w:w="2160"/>
          </w:tcPr>
          <w:p>
            <w:r>
              <w:t>[12]</w:t>
            </w:r>
          </w:p>
        </w:tc>
        <w:tc>
          <w:tcPr>
            <w:tcW w:type="dxa" w:w="2160"/>
          </w:tcPr>
          <w:p>
            <w:r>
              <w:t>SUMO — R package</w:t>
            </w:r>
          </w:p>
        </w:tc>
        <w:tc>
          <w:tcPr>
            <w:tcW w:type="dxa" w:w="2160"/>
          </w:tcPr>
          <w:p>
            <w:r>
              <w:t>Generates factor-analysis-based simulated multi-omics datasets with controllable latent structure, noise and complexity.</w:t>
            </w:r>
          </w:p>
        </w:tc>
        <w:tc>
          <w:tcPr>
            <w:tcW w:type="dxa" w:w="2160"/>
          </w:tcPr>
          <w:p>
            <w:r>
              <w:t>Simulation-only utility; provides no integration methods or downstream analysis or visualisation modules.</w:t>
            </w:r>
          </w:p>
        </w:tc>
      </w:tr>
      <w:tr>
        <w:tc>
          <w:tcPr>
            <w:tcW w:type="dxa" w:w="2160"/>
          </w:tcPr>
          <w:p>
            <w:r>
              <w:t>[10]</w:t>
            </w:r>
          </w:p>
        </w:tc>
        <w:tc>
          <w:tcPr>
            <w:tcW w:type="dxa" w:w="2160"/>
          </w:tcPr>
          <w:p>
            <w:r>
              <w:t>Analyst software suite (ExpressAnalyst/MetaboAnalyst/OmicsNet/OmicsAnalyst) — web platform</w:t>
            </w:r>
          </w:p>
        </w:tc>
        <w:tc>
          <w:tcPr>
            <w:tcW w:type="dxa" w:w="2160"/>
          </w:tcPr>
          <w:p>
            <w:r>
              <w:t>Web-based pipeline covering single-omics analysis, knowledge-driven network and data-driven joint DR integration.</w:t>
            </w:r>
          </w:p>
        </w:tc>
        <w:tc>
          <w:tcPr>
            <w:tcW w:type="dxa" w:w="2160"/>
          </w:tcPr>
          <w:p>
            <w:r>
              <w:t>GUI-dependent; constrained scalability, customisation and reproducibility for very large or locally controlled studies.</w:t>
            </w:r>
          </w:p>
        </w:tc>
      </w:tr>
      <w:tr>
        <w:tc>
          <w:tcPr>
            <w:tcW w:type="dxa" w:w="2160"/>
          </w:tcPr>
          <w:p>
            <w:r>
              <w:t>[11]</w:t>
            </w:r>
          </w:p>
        </w:tc>
        <w:tc>
          <w:tcPr>
            <w:tcW w:type="dxa" w:w="2160"/>
          </w:tcPr>
          <w:p>
            <w:r>
              <w:t>timeOmics — R/Bioconductor package</w:t>
            </w:r>
          </w:p>
        </w:tc>
        <w:tc>
          <w:tcPr>
            <w:tcW w:type="dxa" w:w="2160"/>
          </w:tcPr>
          <w:p>
            <w:r>
              <w:t>Generic framework for pre-processing, modelling and clustering of longitudinal multi-omics data to identify time-associated features.</w:t>
            </w:r>
          </w:p>
        </w:tc>
        <w:tc>
          <w:tcPr>
            <w:tcW w:type="dxa" w:w="2160"/>
          </w:tcPr>
          <w:p>
            <w:r>
              <w:t>Restricted to longitudinal designs with aligned time points; limited guidance on missingness and non-microbiome modalities.</w:t>
            </w:r>
          </w:p>
        </w:tc>
      </w:tr>
    </w:tbl>
    <w:p>
      <w:pPr>
        <w:pStyle w:val="Heading1"/>
      </w:pPr>
      <w:r>
        <w:t>Competing interests</w:t>
      </w:r>
    </w:p>
    <w:p>
      <w:r>
        <w:t>The authors of this review developed EasyMultiProfiler (Liu B et al., Sci China Life Sci 2025). It is assessed with the same criteria as every other tool, and each statement about it is referenced to its published description.</w:t>
      </w:r>
    </w:p>
    <w:p>
      <w:pPr>
        <w:pStyle w:val="Heading1"/>
      </w:pPr>
      <w:r>
        <w:t>References</w:t>
      </w:r>
    </w:p>
    <w:p>
      <w:r>
        <w:t>[1] Hu Z, Wang J, Yu J, Hu Z, Xue J, Ma Z, et al. Multi-omics integration and machine learning reveal gut-immune signatures in idiopathic pulmonary fibrosis: insights from bulk RNA-seq, single-cell profiles, spatial transcriptomics, and experimental validation. Front Immunol. 2026;17:1730289. doi:10.3389/fimmu.2026.1730289 PMID: 41939867</w:t>
      </w:r>
    </w:p>
    <w:p>
      <w:r>
        <w:t>[2] Shi H, Wu M, Wu X, Liu Z, Jiang S, Li G, et al. Multi-omics integration reveals functional signatures of gut microbiome in atherosclerosis. Gut Microbes. 2025;17(1):2542384. doi:10.1080/19490976.2025.2542384 PMID: 40785047</w:t>
      </w:r>
    </w:p>
    <w:p>
      <w:r>
        <w:t>[3] Osama A, Anwar AM, Ezzeldin S, Ahmed EA, Mahgoub S, Ibrahim O, et al. Integrative multi-omics analysis of autism spectrum disorder reveals unique microbial macromolecules interactions. J Adv Res. 2025;77:265-279. doi:10.1016/j.jare.2025.01.036 PMID: 39870302</w:t>
      </w:r>
    </w:p>
    <w:p>
      <w:r>
        <w:t>[4] Meng L, Jin H, Yulug B, Altay O, Li X, Hanoglu L, et al. Multi-omics analysis reveals the key factors involved in the severity of the Alzheimer's disease. Alzheimers Res Ther. 2024;16(1):213. doi:10.1186/s13195-024-01578-6 PMID: 39358810</w:t>
      </w:r>
    </w:p>
    <w:p>
      <w:r>
        <w:t>[5] Li T, Zhao Z, Peng M, Zhang L, Wang C, Luo F, et al. Multi-omics analysis reveals the interplay between intratumoral bacteria and glioma. mSystems. 2025;10(1):e0045724. doi:10.1128/msystems.00457-24 PMID: 39660865</w:t>
      </w:r>
    </w:p>
    <w:p>
      <w:r>
        <w:t>[6] Ning L, Zhou YL, Sun H, Zhang Y, Shen C, Wang Z, et al. Microbiome and metabolome features in inflammatory bowel disease via multi-omics integration analyses across cohorts. Nat Commun. 2023;14(1):7135. doi:10.1038/s41467-023-42788-0 PMID: 37932270</w:t>
      </w:r>
    </w:p>
    <w:p>
      <w:r>
        <w:t>[7] Jacobs JP, Lagishetty V, Hauer MC, Labus JS, Dong TS, Toma R, et al. Multi-omics profiles of the intestinal microbiome in irritable bowel syndrome and its bowel habit subtypes. Microbiome. 2023;11(1):5. doi:10.1186/s40168-022-01450-5 PMID: 36624530</w:t>
      </w:r>
    </w:p>
    <w:p>
      <w:r>
        <w:t>[8] Mars RAT, Yang Y, Ward T, Houtti M, Priya S, Lekatz HR, et al. Longitudinal Multi-omics Reveals Subset-Specific Mechanisms Underlying Irritable Bowel Syndrome. Cell. 2020;182(6):1460-1473.e17. doi:10.1016/j.cell.2020.08.007 PMID: 32916129</w:t>
      </w:r>
    </w:p>
    <w:p>
      <w:r>
        <w:t>[9] Liu B, Liu Y, Xu S, Wu Q, Wu D, Zhan L, et al. EasyMultiProfiler: an efficient multi-omics data integration and analysis workflow for microbiome research. Sci China Life Sci. 2026;69(2):321-330. doi:10.1007/s11427-025-3035-0 PMID: 40932530</w:t>
      </w:r>
    </w:p>
    <w:p>
      <w:r>
        <w:t>[10] Ewald JD, Zhou G, Lu Y, Kolic J, Ellis C, Johnson JD, et al. Web-based multi-omics integration using the Analyst software suite. Nat Protoc. 2024;19(5):1467-1497. doi:10.1038/s41596-023-00950-4 PMID: 38355833</w:t>
      </w:r>
    </w:p>
    <w:p>
      <w:r>
        <w:t>[11] Bodein A, Scott-Boyer MP, Perin O, Lê Cao KA, Droit A. timeOmics: an R package for longitudinal multi-omics data integration. Bioinformatics. 2022;38(2):577-579. doi:10.1093/bioinformatics/btab664 PMID: 34554215</w:t>
      </w:r>
    </w:p>
    <w:p>
      <w:r>
        <w:t>[12] Osang'ir BI, Gupta S, Shkedy Z, Claesen J. SUMO: an R package for simulating multi-omics data for methods development and testing. Bioinform Adv. 2025;5(1):vbaf264. doi:10.1093/bioadv/vbaf264 PMID: 41278008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