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生物信息学课程大作业：PPT汇报与答辩要求</w:t>
      </w:r>
    </w:p>
    <w:p>
      <w:r>
        <w:rPr>
          <w:b w:val="0"/>
        </w:rPr>
        <w:t>适用对象：本科三年级《Bioinformatics: From Multi-Omics Data to Discovery》  |  组织形式：每组4人（1名主讲、3名问答成员）</w:t>
      </w:r>
    </w:p>
    <w:p>
      <w:r>
        <w:rPr>
          <w:b/>
        </w:rPr>
        <w:t>核心目标：从多篇原始研究论文出发，识别尚未解决的科学问题，提出可检验的新假说；结合多组学数据、AI辅助分析与可复现代码，完成“提出问题—设计分析—解释结果—评价证据”的科学论证。</w:t>
      </w:r>
    </w:p>
    <w:p>
      <w:pPr>
        <w:pStyle w:val="Heading1"/>
      </w:pPr>
      <w:r>
        <w:t>一、任务定位与团队分工</w:t>
      </w:r>
    </w:p>
    <w:p>
      <w:r>
        <w:rPr>
          <w:b w:val="0"/>
        </w:rPr>
        <w:t>本次大作业不是论文内容的拼接或结果复述，而是一次小型、以证据为基础的科研提案与数据分析展示。团队需明确区分：原论文已完成的研究、公开数据支持的再分析、团队自己提出的推测或待验证假说。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984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角色</w:t>
            </w:r>
          </w:p>
        </w:tc>
        <w:tc>
          <w:tcPr>
            <w:tcW w:type="dxa" w:w="5783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现场任务</w:t>
            </w:r>
          </w:p>
        </w:tc>
        <w:tc>
          <w:tcPr>
            <w:tcW w:type="dxa" w:w="1361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计入总成绩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主讲学生（1人）</w:t>
            </w:r>
          </w:p>
        </w:tc>
        <w:tc>
          <w:tcPr>
            <w:tcW w:type="dxa" w:w="5783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负责完整PPT逻辑汇报，阐明从既有研究到新问题、分析方案与结果解释的链条。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25%</w:t>
            </w:r>
          </w:p>
        </w:tc>
      </w:tr>
      <w:tr>
        <w:tc>
          <w:tcPr>
            <w:tcW w:type="dxa" w:w="198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问答学生A（1人）</w:t>
            </w:r>
          </w:p>
        </w:tc>
        <w:tc>
          <w:tcPr>
            <w:tcW w:type="dxa" w:w="5783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独立回答1–2个问题；建议侧重文献科学问题、证据与知识空白。</w:t>
            </w:r>
          </w:p>
        </w:tc>
        <w:tc>
          <w:tcPr>
            <w:tcW w:type="dxa" w:w="136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25%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问答学生B（1人）</w:t>
            </w:r>
          </w:p>
        </w:tc>
        <w:tc>
          <w:tcPr>
            <w:tcW w:type="dxa" w:w="5783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独立回答1–2个问题；建议侧重组学方案、脚本、参数与质量控制。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25%</w:t>
            </w:r>
          </w:p>
        </w:tc>
      </w:tr>
      <w:tr>
        <w:tc>
          <w:tcPr>
            <w:tcW w:type="dxa" w:w="198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问答学生C（1人）</w:t>
            </w:r>
          </w:p>
        </w:tc>
        <w:tc>
          <w:tcPr>
            <w:tcW w:type="dxa" w:w="5783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独立回答1–2个问题；建议侧重结果解读、局限性与验证方案。</w:t>
            </w:r>
          </w:p>
        </w:tc>
        <w:tc>
          <w:tcPr>
            <w:tcW w:type="dxa" w:w="136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25%</w:t>
            </w:r>
          </w:p>
        </w:tc>
      </w:tr>
    </w:tbl>
    <w:p>
      <w:pPr>
        <w:spacing w:after="0"/>
      </w:pPr>
    </w:p>
    <w:p>
      <w:r>
        <w:rPr>
          <w:b w:val="0"/>
        </w:rPr>
        <w:t>每个25%代表一位学生对小组总成绩的独立贡献份额，不是“全组成绩占个人课程总评25%”。课程总评中本次大作业的权重以正式课程考核方案为准。</w:t>
      </w:r>
    </w:p>
    <w:p>
      <w:pPr>
        <w:pStyle w:val="Heading1"/>
      </w:pPr>
      <w:r>
        <w:t>二、PPT必须回答的七个核心问题</w:t>
      </w:r>
    </w:p>
    <w:p>
      <w:r>
        <w:rPr>
          <w:b/>
        </w:rPr>
        <w:t>1. 研究背景与文献选择：</w:t>
      </w:r>
      <w:r>
        <w:t>研究属于什么生物学领域？为何重要？选择了哪些原始研究论文，各自的模型、样本、研究对象和核心问题是什么？</w:t>
      </w:r>
    </w:p>
    <w:p>
      <w:r>
        <w:rPr>
          <w:b/>
        </w:rPr>
        <w:t>2. 原始证据与知识空白：</w:t>
      </w:r>
      <w:r>
        <w:t>每篇论文解决了什么、尚未解决什么？是否存在样本、方法、因果推断或组学层次上的局限？哪些结果相互支持、冲突或不可直接比较？</w:t>
      </w:r>
    </w:p>
    <w:p>
      <w:r>
        <w:rPr>
          <w:b/>
        </w:rPr>
        <w:t>3. 新科学问题与假说：</w:t>
      </w:r>
      <w:r>
        <w:t>整合文献后，本组提出的“新”问题是什么？具体假说、候选机制和可证伪的预期结果是什么？与原论文相比增加了什么认识？</w:t>
      </w:r>
    </w:p>
    <w:p>
      <w:r>
        <w:rPr>
          <w:b/>
        </w:rPr>
        <w:t>4. 组学数据与研究设计：</w:t>
      </w:r>
      <w:r>
        <w:t>原研究及本组计划涉及哪些组学（RNA-seq、scRNA-seq、ChIP-seq、微生物组、蛋白组、代谢组等）？对应的数据来源、分组、重复、批次、样本量与控制因素是什么？为何采用这些组学？</w:t>
      </w:r>
    </w:p>
    <w:p>
      <w:r>
        <w:rPr>
          <w:b/>
        </w:rPr>
        <w:t>5. AI与可复现分析流程：</w:t>
      </w:r>
      <w:r>
        <w:t>如何利用AI辅助设计流程、编写或调试R/Python脚本？明确输入、质控、标准化、统计检验、多重比较校正、可视化、富集分析及多组学整合，公开工具与软件版本须注明。</w:t>
      </w:r>
    </w:p>
    <w:p>
      <w:r>
        <w:rPr>
          <w:b/>
        </w:rPr>
        <w:t>6. 方法与参数优化：</w:t>
      </w:r>
      <w:r>
        <w:t>相对于论文或默认分析流程，新方法/参数/过滤规则如何改变？为何调整，如低表达过滤、归一化、FDR阈值、差异效应量、批次校正、聚类分辨率、数据库选择？是否开展敏感性分析？避免仅因结果“更显著”而事后改参。</w:t>
      </w:r>
    </w:p>
    <w:p>
      <w:r>
        <w:rPr>
          <w:b/>
        </w:rPr>
        <w:t>7. 结果解读与生物学结论：</w:t>
      </w:r>
      <w:r>
        <w:t>关键图表显示了什么统计事实？能否推断生物学机制或因果关系？是否考虑混杂因素、偏差、负结果与替代解释？下一步需要哪些独立数据与实验验证？</w:t>
      </w:r>
    </w:p>
    <w:p>
      <w:pPr>
        <w:pStyle w:val="Heading1"/>
      </w:pPr>
      <w:r>
        <w:t>三、推荐PPT结构与制作标准</w:t>
      </w:r>
    </w:p>
    <w:p>
      <w:r>
        <w:rPr>
          <w:b w:val="0"/>
        </w:rPr>
        <w:t>建议12–16页主体幻灯片（附录不计），英文展示；推荐主讲12–15分钟，四名同学合计问答约12–16分钟。具体时间可按课堂实际安排调整。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191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页码建议</w:t>
            </w:r>
          </w:p>
        </w:tc>
        <w:tc>
          <w:tcPr>
            <w:tcW w:type="dxa" w:w="2381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板块</w:t>
            </w:r>
          </w:p>
        </w:tc>
        <w:tc>
          <w:tcPr>
            <w:tcW w:type="dxa" w:w="5556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必须呈现的内容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1–2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标题与研究地图</w:t>
            </w:r>
          </w:p>
        </w:tc>
        <w:tc>
          <w:tcPr>
            <w:tcW w:type="dxa" w:w="5556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课题名称、成员与角色；研究问题及多篇论文的逻辑关系</w:t>
            </w:r>
          </w:p>
        </w:tc>
      </w:tr>
      <w:tr>
        <w:tc>
          <w:tcPr>
            <w:tcW w:type="dxa" w:w="119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3–5</w:t>
            </w:r>
          </w:p>
        </w:tc>
        <w:tc>
          <w:tcPr>
            <w:tcW w:type="dxa" w:w="238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文献科学问题与差距</w:t>
            </w:r>
          </w:p>
        </w:tc>
        <w:tc>
          <w:tcPr>
            <w:tcW w:type="dxa" w:w="5556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比较至少3篇相关原始研究的假说、组学、主要结果和局限；标注文献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6–7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新的问题与研究设计</w:t>
            </w:r>
          </w:p>
        </w:tc>
        <w:tc>
          <w:tcPr>
            <w:tcW w:type="dxa" w:w="5556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新假说、组学组合、数据来源、样本结构和预期判别性证据</w:t>
            </w:r>
          </w:p>
        </w:tc>
      </w:tr>
      <w:tr>
        <w:tc>
          <w:tcPr>
            <w:tcW w:type="dxa" w:w="119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8–10</w:t>
            </w:r>
          </w:p>
        </w:tc>
        <w:tc>
          <w:tcPr>
            <w:tcW w:type="dxa" w:w="238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分析流程与参数优化</w:t>
            </w:r>
          </w:p>
        </w:tc>
        <w:tc>
          <w:tcPr>
            <w:tcW w:type="dxa" w:w="5556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可复现workflow、关键软件/脚本、参数修改与合理性、QC及统计设计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11–13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结果解读与综合</w:t>
            </w:r>
          </w:p>
        </w:tc>
        <w:tc>
          <w:tcPr>
            <w:tcW w:type="dxa" w:w="5556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至少3张深入解读的分析图；关联/因果区分，整合证据和替代解释</w:t>
            </w:r>
          </w:p>
        </w:tc>
      </w:tr>
      <w:tr>
        <w:tc>
          <w:tcPr>
            <w:tcW w:type="dxa" w:w="119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14–16</w:t>
            </w:r>
          </w:p>
        </w:tc>
        <w:tc>
          <w:tcPr>
            <w:tcW w:type="dxa" w:w="238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结论、局限与展望</w:t>
            </w:r>
          </w:p>
        </w:tc>
        <w:tc>
          <w:tcPr>
            <w:tcW w:type="dxa" w:w="5556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主要发现或合理预期、验证实验、AI使用与贡献声明、文献引用</w:t>
            </w:r>
          </w:p>
        </w:tc>
      </w:tr>
    </w:tbl>
    <w:p>
      <w:pPr>
        <w:spacing w:after="0"/>
      </w:pPr>
    </w:p>
    <w:p>
      <w:r>
        <w:rPr>
          <w:b w:val="0"/>
        </w:rPr>
        <w:t>视觉与表达：16:9宽屏；统一白色/浅色背景；优先使用Times New Roman；英文标题建议42 pt、正文24 pt、图内关键信息尽量≥18–20 pt；尽量采用图、流程图和可读的真实科学图表（图文约5:1）；左对齐标题；页脚设置一句take-home message。论文图须标注出处，重绘图必须写明“Adapted from”，不得将模拟图标成实测结果。</w:t>
      </w:r>
    </w:p>
    <w:p>
      <w:pPr>
        <w:pStyle w:val="Heading1"/>
      </w:pPr>
      <w:r>
        <w:t>四、分析与资料提交规范</w:t>
      </w:r>
    </w:p>
    <w:p>
      <w:pPr>
        <w:pStyle w:val="ListBullet"/>
      </w:pPr>
      <w:r>
        <w:t>文献：建议至少3篇相互关联的原始研究文章，优先选择有可获得原始数据或可复核统计结果的论文；结论中不能把综述当作原始实验依据。</w:t>
      </w:r>
    </w:p>
    <w:p>
      <w:pPr>
        <w:pStyle w:val="ListBullet"/>
      </w:pPr>
      <w:r>
        <w:t>组学：应覆盖所选问题所需的组学层次；鼓励跨组学比较，不能为了凑数量而不合理增加数据类型。</w:t>
      </w:r>
    </w:p>
    <w:p>
      <w:pPr>
        <w:pStyle w:val="ListBullet"/>
      </w:pPr>
      <w:r>
        <w:t>代码：提交实际使用的R/Python脚本或Notebook、README、软件与关键软件包版本、参数表，以及公开数据集编号（如GEO、SRA、PRIDE、MetaboLights）。不能提交不可运行的“示意代码”却声称已完成分析。</w:t>
      </w:r>
    </w:p>
    <w:p>
      <w:pPr>
        <w:pStyle w:val="ListBullet"/>
      </w:pPr>
      <w:r>
        <w:t>图表：注明原论文图、公开数据再分析图、模拟演示图或概念图的性质；提供图例、分组、N值、指标、统计方法及可解释的结果。</w:t>
      </w:r>
    </w:p>
    <w:p>
      <w:pPr>
        <w:pStyle w:val="ListBullet"/>
      </w:pPr>
      <w:r>
        <w:t>AI使用：说明AI帮助完成了哪些工作、哪些判断由学生自行作出、如何验证AI产生的代码与解释；禁止捏造文献、数据、统计结果和软件输出。</w:t>
      </w:r>
    </w:p>
    <w:p>
      <w:pPr>
        <w:pStyle w:val="ListBullet"/>
      </w:pPr>
      <w:r>
        <w:t>学术规范：如未获得原始数据或未实际运行分析，应明确写“proposed analysis”或“illustrative example”，不把计划或模拟结果作为真实发现。</w:t>
      </w:r>
    </w:p>
    <w:p>
      <w:pPr>
        <w:pStyle w:val="Heading1"/>
      </w:pPr>
      <w:r>
        <w:t>五、答辩准备与判定标准</w:t>
      </w:r>
    </w:p>
    <w:p>
      <w:r>
        <w:rPr>
          <w:b w:val="0"/>
        </w:rPr>
        <w:t>三位问答成员分别现场独立回答1–2题；不得由主讲人代答。所有成员应理解整套项目逻辑、关键图表和核心参数，而非仅准备自己的一页。教师可按难度相近原则调整问题，必要时追问。</w:t>
      </w:r>
    </w:p>
    <w:p>
      <w:r>
        <w:rPr>
          <w:b w:val="0"/>
        </w:rPr>
        <w:t>准备时请能解释“为什么选择这一组学/方法”“改变参数可能如何影响结果”“p值与FDR有什么区别”“相关与因果的边界”“如何判断AI生成脚本是否可靠”“若结果不支持假说怎么办”等问题。</w:t>
      </w:r>
    </w:p>
    <w:p>
      <w:r>
        <w:rPr>
          <w:b w:val="0"/>
        </w:rPr>
        <w:t>最终提交：①英文PPT（.pptx）；②参考文献与公开数据来源清单；③实际分析代码、参数/版本说明及可复现README（若本组完成再分析）；④组内四名成员的角色与AI使用声明。</w:t>
      </w:r>
    </w:p>
    <w:p>
      <w:r>
        <w:rPr>
          <w:b/>
        </w:rPr>
        <w:t>最终成绩由四个独立25分模块合计，详见配套文件《教师评分标准与现场记录表》。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76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575"/>
        <w:sz w:val="16"/>
      </w:rPr>
      <w:t>学生说明  |  课程大作业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F6575"/>
        <w:sz w:val="16"/>
      </w:rPr>
      <w:t>2026 FALL  |  BIOINFORMATICS: FROM MULTI-OMICS DATA TO DISCOVERY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5" w:lineRule="auto"/>
    </w:pPr>
    <w:rPr>
      <w:rFonts w:ascii="Microsoft YaHei" w:hAnsi="Microsoft YaHei" w:eastAsia="Microsoft YaHei"/>
      <w:color w:val="1B25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345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254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B254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