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tblInd w:w="0" w:type="dxa"/>
        <w:tblBorders>
          <w:top w:val="single" w:color="FFFFFF" w:sz="0" w:space="0"/>
          <w:left w:val="single" w:color="FFFFFF" w:sz="0" w:space="0"/>
          <w:bottom w:val="single" w:color="FFFFFF" w:sz="0" w:space="0"/>
          <w:right w:val="single" w:color="FFFFFF" w:sz="0" w:space="0"/>
          <w:insideH w:val="single" w:color="FFFFFF" w:sz="0" w:space="0"/>
          <w:insideV w:val="single" w:color="FFFFFF" w:sz="0" w:space="0"/>
        </w:tblBorders>
        <w:tblLayout w:type="autofit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500"/>
        <w:gridCol w:w="7900"/>
        <w:gridCol w:w="100"/>
      </w:tblGrid>
      <w:tr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800" w:hRule="atLeast"/>
        </w:trPr>
        <w:tc>
          <w:tcPr>
            <w:tcW w:w="9400" w:type="dxa"/>
            <w:gridSpan w:val="2"/>
          </w:tcPr>
          <w:tbl>
            <w:tblPr>
              <w:tblStyle w:val="2"/>
              <w:tblW w:w="0" w:type="auto"/>
              <w:tblInd w:w="0" w:type="dxa"/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9340"/>
            </w:tblGrid>
            <w:tr>
              <w:trPr>
                <w:trHeight w:val="500" w:hRule="atLeast"/>
              </w:trPr>
              <w:tc>
                <w:tcPr>
                  <w:tcW w:w="9400" w:type="dxa"/>
                  <w:vAlign w:val="top"/>
                </w:tcPr>
                <w:p>
                  <w:pPr>
                    <w:spacing w:line="240" w:lineRule="auto"/>
                    <w:jc w:val="left"/>
                  </w:pPr>
                  <w:r>
                    <w:rPr>
                      <w:rFonts w:ascii="Arial" w:hAnsi="Arial" w:eastAsia="Arial" w:cs="Arial"/>
                      <w:b/>
                      <w:color w:val="222222"/>
                      <w:sz w:val="44"/>
                      <w:szCs w:val="44"/>
                    </w:rPr>
                    <w:t>Xie Luhui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w="9400" w:type="dxa"/>
                  <w:vAlign w:val="center"/>
                </w:tcPr>
                <w:p>
                  <w:pPr>
                    <w:spacing w:line="240" w:lineRule="auto"/>
                    <w:jc w:val="left"/>
                  </w:pPr>
                  <w:r>
                    <w:rPr>
                      <w:rFonts w:ascii="Arial" w:hAnsi="Arial" w:eastAsia="Arial" w:cs="Arial"/>
                      <w:color w:val="555555"/>
                      <w:sz w:val="17"/>
                    </w:rPr>
                    <w:t>Male | 32 | 10+ years' experience | Master's degree | 15012997546 | 540484990@qq.com | Senior iOS Engineer</w:t>
                  </w:r>
                  <w:r>
                    <w:rPr>
                      <w:color w:val="CCCCCC"/>
                    </w:rPr>
                  </w:r>
                  <w:r>
                    <w:rPr>
                      <w:color w:val="555555"/>
                    </w:rPr>
                  </w:r>
                  <w:r>
                    <w:rPr>
                      <w:color w:val="CCCCCC"/>
                    </w:rPr>
                  </w:r>
                  <w:r>
                    <w:rPr>
                      <w:color w:val="555555"/>
                    </w:rPr>
                  </w:r>
                  <w:r>
                    <w:rPr>
                      <w:color w:val="CCCCCC"/>
                    </w:rPr>
                  </w:r>
                  <w:r>
                    <w:rPr>
                      <w:color w:val="555555"/>
                    </w:rPr>
                  </w:r>
                  <w:r>
                    <w:rPr>
                      <w:color w:val="CCCCCC"/>
                    </w:rPr>
                  </w:r>
                  <w:r>
                    <w:rPr>
                      <w:color w:val="555555"/>
                    </w:rPr>
                  </w:r>
                  <w:r>
                    <w:rPr>
                      <w:color w:val="CCCCCC"/>
                    </w:rPr>
                  </w:r>
                  <w:r>
                    <w:rPr>
                      <w:color w:val="555555"/>
                    </w:rPr>
                  </w:r>
                  <w:r>
                    <w:rPr>
                      <w:color w:val="CCCCCC"/>
                    </w:rPr>
                  </w:r>
                  <w:r>
                    <w:rPr>
                      <w:color w:val="555555"/>
                    </w:rPr>
                  </w:r>
                </w:p>
              </w:tc>
            </w:tr>
          </w:tbl>
          <w:p/>
        </w:tc>
        <w:tc>
          <w:tcPr>
            <w:tcW w:w="100" w:type="dxa"/>
            <w:vAlign w:val="top"/>
          </w:tcPr>
          <w:p/>
        </w:tc>
      </w:tr>
      <w:tr>
        <w:trPr>
          <w:trHeight w:val="50" w:hRule="atLeast"/>
        </w:trPr>
        <w:tc>
          <w:tcPr>
            <w:tcW w:w="1500" w:type="dxa"/>
            <w:tcBorders>
              <w:bottom w:val="single" w:color="222222" w:sz="20" w:space="0"/>
            </w:tcBorders>
          </w:tcPr>
          <w:p>
            <w:pPr>
              <w:spacing w:line="240" w:lineRule="auto"/>
            </w:pPr>
            <w:r>
              <w:rPr>
                <w:color w:val="FFFFFF"/>
                <w:sz w:val="8"/>
                <w:szCs w:val="8"/>
              </w:rPr>
              <w:t>I</w:t>
            </w:r>
          </w:p>
        </w:tc>
        <w:tc>
          <w:tcPr>
            <w:tcW w:w="8000" w:type="dxa"/>
            <w:gridSpan w:val="2"/>
            <w:tcBorders>
              <w:bottom w:val="single" w:color="CCCCCC" w:sz="20" w:space="0"/>
            </w:tcBorders>
          </w:tcPr>
          <w:p>
            <w:pPr>
              <w:spacing w:line="240" w:lineRule="auto"/>
            </w:pPr>
            <w:r>
              <w:rPr>
                <w:color w:val="FFFFFF"/>
                <w:sz w:val="8"/>
                <w:szCs w:val="8"/>
              </w:rPr>
              <w:t>I</w:t>
            </w:r>
          </w:p>
        </w:tc>
      </w:tr>
      <w:tr>
        <w:trPr>
          <w:gridAfter w:val="2"/>
          <w:wAfter w:w="8000" w:type="dxa"/>
          <w:trHeight w:val="50" w:hRule="atLeast"/>
        </w:trPr>
        <w:tc>
          <w:tcPr>
            <w:tcW w:w="1500" w:type="dxa"/>
          </w:tcPr>
          <w:p>
            <w:pPr>
              <w:spacing w:line="240" w:lineRule="auto"/>
            </w:pPr>
            <w:r>
              <w:rPr>
                <w:color w:val="FFFFFF"/>
                <w:sz w:val="8"/>
                <w:szCs w:val="8"/>
              </w:rPr>
              <w:t>I</w:t>
            </w:r>
          </w:p>
        </w:tc>
      </w:tr>
      <w:tr>
        <w:trPr>
          <w:trHeight w:val="500" w:hRule="atLeast"/>
        </w:trPr>
        <w:tc>
          <w:tcPr>
            <w:tcW w:w="9500" w:type="dxa"/>
            <w:gridSpan w:val="3"/>
            <w:vAlign w:val="bottom"/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b/>
                <w:color w:val="222222"/>
                <w:sz w:val="28"/>
                <w:szCs w:val="28"/>
              </w:rPr>
              <w:t>Education</w:t>
            </w:r>
          </w:p>
        </w:tc>
      </w:tr>
      <w:tr>
        <w:trPr>
          <w:trHeight w:val="300" w:hRule="atLeast"/>
        </w:trPr>
        <w:tc>
          <w:tcPr>
            <w:tcW w:w="9500" w:type="dxa"/>
            <w:gridSpan w:val="3"/>
            <w:vAlign w:val="center"/>
          </w:tcPr>
          <w:tbl>
            <w:tblPr>
              <w:tblStyle w:val="2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FFFFFF" w:sz="0" w:space="0"/>
                <w:insideV w:val="single" w:color="FFFFFF" w:sz="0" w:space="0"/>
              </w:tblBorders>
              <w:tblLayout w:type="autofit"/>
              <w:tblCellMar>
                <w:top w:w="10" w:type="dxa"/>
                <w:left w:w="10" w:type="dxa"/>
                <w:bottom w:w="10" w:type="dxa"/>
                <w:right w:w="10" w:type="dxa"/>
              </w:tblCellMar>
            </w:tblPr>
            <w:tblGrid>
              <w:gridCol w:w="3148"/>
              <w:gridCol w:w="3143"/>
              <w:gridCol w:w="3144"/>
            </w:tblGrid>
            <w:tr>
              <w:trPr>
                <w:trHeight w:val="300" w:hRule="atLeast"/>
              </w:trPr>
              <w:tc>
                <w:tcPr>
                  <w:tcW w:w="3166" w:type="dxa"/>
                </w:tcPr>
                <w:p>
                  <w:pPr>
                    <w:spacing w:line="240" w:lineRule="auto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17"/>
                    </w:rPr>
                    <w:t>2008/09 - 2012/07</w:t>
                  </w:r>
                </w:p>
              </w:tc>
              <w:tc>
                <w:tcPr>
                  <w:tcW w:w="3166" w:type="dxa"/>
                </w:tcPr>
                <w:p>
                  <w:pPr>
                    <w:spacing w:line="240" w:lineRule="auto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17"/>
                    </w:rPr>
                    <w:t>South China University of Technology</w:t>
                  </w:r>
                </w:p>
              </w:tc>
              <w:tc>
                <w:tcPr>
                  <w:tcW w:w="3166" w:type="dxa"/>
                </w:tcPr>
                <w:p>
                  <w:pPr>
                    <w:spacing w:line="240" w:lineRule="auto"/>
                    <w:jc w:val="right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17"/>
                    </w:rPr>
                    <w:t>Information and Computing Science</w:t>
                  </w:r>
                </w:p>
              </w:tc>
            </w:tr>
          </w:tbl>
          <w:p/>
        </w:tc>
      </w:tr>
      <w:tr>
        <w:trPr>
          <w:trHeight w:val="300" w:hRule="atLeast"/>
        </w:trPr>
        <w:tc>
          <w:tcPr>
            <w:tcW w:w="9500" w:type="dxa"/>
            <w:gridSpan w:val="3"/>
            <w:vAlign w:val="center"/>
          </w:tcPr>
          <w:tbl>
            <w:tblPr>
              <w:tblStyle w:val="2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FFFFFF" w:sz="0" w:space="0"/>
                <w:insideV w:val="single" w:color="FFFFFF" w:sz="0" w:space="0"/>
              </w:tblBorders>
              <w:tblLayout w:type="autofit"/>
              <w:tblCellMar>
                <w:top w:w="10" w:type="dxa"/>
                <w:left w:w="10" w:type="dxa"/>
                <w:bottom w:w="10" w:type="dxa"/>
                <w:right w:w="10" w:type="dxa"/>
              </w:tblCellMar>
            </w:tblPr>
            <w:tblGrid>
              <w:gridCol w:w="3148"/>
              <w:gridCol w:w="3143"/>
              <w:gridCol w:w="3144"/>
            </w:tblGrid>
            <w:tr>
              <w:trPr>
                <w:trHeight w:val="300" w:hRule="atLeast"/>
              </w:trPr>
              <w:tc>
                <w:tcPr>
                  <w:tcW w:w="3166" w:type="dxa"/>
                </w:tcPr>
                <w:p>
                  <w:pPr>
                    <w:spacing w:line="240" w:lineRule="auto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17"/>
                    </w:rPr>
                    <w:t>2012/09 - 2015/07</w:t>
                  </w:r>
                </w:p>
              </w:tc>
              <w:tc>
                <w:tcPr>
                  <w:tcW w:w="3166" w:type="dxa"/>
                </w:tcPr>
                <w:p>
                  <w:pPr>
                    <w:spacing w:line="240" w:lineRule="auto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17"/>
                    </w:rPr>
                    <w:t>South China University of Technology</w:t>
                  </w:r>
                </w:p>
              </w:tc>
              <w:tc>
                <w:tcPr>
                  <w:tcW w:w="3166" w:type="dxa"/>
                </w:tcPr>
                <w:p>
                  <w:pPr>
                    <w:spacing w:line="240" w:lineRule="auto"/>
                    <w:jc w:val="right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17"/>
                    </w:rPr>
                    <w:t>Computer Software and Theory</w:t>
                  </w:r>
                </w:p>
              </w:tc>
            </w:tr>
          </w:tbl>
          <w:p/>
        </w:tc>
      </w:tr>
      <w:tr>
        <w:trPr>
          <w:trHeight w:val="500" w:hRule="atLeast"/>
        </w:trPr>
        <w:tc>
          <w:tcPr>
            <w:tcW w:w="9500" w:type="dxa"/>
            <w:gridSpan w:val="3"/>
            <w:vAlign w:val="bottom"/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b/>
                <w:color w:val="222222"/>
                <w:sz w:val="28"/>
                <w:szCs w:val="28"/>
              </w:rPr>
              <w:t>Project Experience</w:t>
            </w:r>
          </w:p>
        </w:tc>
      </w:tr>
      <w:tr>
        <w:trPr>
          <w:trHeight w:val="300" w:hRule="atLeast"/>
        </w:trPr>
        <w:tc>
          <w:tcPr>
            <w:tcW w:w="9500" w:type="dxa"/>
            <w:gridSpan w:val="3"/>
            <w:vAlign w:val="center"/>
          </w:tcPr>
          <w:tbl>
            <w:tblPr>
              <w:tblStyle w:val="2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FFFFFF" w:sz="0" w:space="0"/>
                <w:insideV w:val="single" w:color="FFFFFF" w:sz="0" w:space="0"/>
              </w:tblBorders>
              <w:tblLayout w:type="autofit"/>
              <w:tblCellMar>
                <w:top w:w="10" w:type="dxa"/>
                <w:left w:w="10" w:type="dxa"/>
                <w:bottom w:w="10" w:type="dxa"/>
                <w:right w:w="10" w:type="dxa"/>
              </w:tblCellMar>
            </w:tblPr>
            <w:tblGrid>
              <w:gridCol w:w="3147"/>
              <w:gridCol w:w="3143"/>
              <w:gridCol w:w="3142"/>
              <w:gridCol w:w="3"/>
            </w:tblGrid>
            <w:tr>
              <w:trPr>
                <w:gridAfter w:val="1"/>
                <w:wAfter w:w="3" w:type="dxa"/>
                <w:trHeight w:val="300" w:hRule="atLeast"/>
              </w:trPr>
              <w:tc>
                <w:tcPr>
                  <w:tcW w:w="3147" w:type="dxa"/>
                </w:tcPr>
                <w:p>
                  <w:pPr>
                    <w:spacing w:before="0" w:after="40" w:line="240" w:lineRule="auto"/>
                    <w:rPr>
                      <w:rFonts w:hint="default"/>
                    </w:rPr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21"/>
                    </w:rPr>
                    <w:t>2021/11-Present</w:t>
                  </w:r>
                  <w:r>
                    <w:rPr>
                      <w:rFonts w:hint="default"/>
                      <w:b/>
                      <w:color w:val="555555"/>
                    </w:rPr>
                  </w:r>
                </w:p>
              </w:tc>
              <w:tc>
                <w:tcPr>
                  <w:tcW w:w="3143" w:type="dxa"/>
                </w:tcPr>
                <w:p>
                  <w:pPr>
                    <w:spacing w:after="40" w:line="240" w:lineRule="auto" w:before="0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21"/>
                    </w:rPr>
                    <w:t>Shopee Video Service / MediaSDK iOS</w:t>
                  </w:r>
                </w:p>
              </w:tc>
              <w:tc>
                <w:tcPr>
                  <w:tcW w:w="3142" w:type="dxa"/>
                </w:tcPr>
                <w:p>
                  <w:pPr>
                    <w:spacing w:before="0" w:after="4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21"/>
                    </w:rPr>
                    <w:t>Expert Engineer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9435" w:type="dxa"/>
                  <w:gridSpan w:val="4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Project Overview: Long-term owner of the Shopee Video Service / MediaSDK iOS creation toolchain and SDK engineering, covering photo library, recording, editor, Draft/Retake, Stitch/multi-clip editing, Text/Sticker/Filter/Magic, AI Poster/Try-on/Fitting Room, AIGC templates, live creation components, publishing, RN/Web Bridge, package splitting, release management, and online stability.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[1] Creation flow and recording architecture: Owned cross-platform recording page replacement, camera mode adjustment, screen brightness logic, shooting/photo-library entry points, pre-publish detection, and result callbacks; supported Shopee Video Buyer Show, multi-image/multi-video publishing, live creation entry points, and Shopee Call Live adaptation.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[2] Editor core capabilities and architecture upgrades: Contributed to multi-clip stitching, editor refactoring, Retake, Stitch, Draft Box, Trimmer upgrades, Timeline update, photo-library export concurrency and cancellation, and cross-platform codec catch-up strategy optimization, improving stability, extensibility, and UX for complex editing scenarios.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[3] Assets and interactive components: Iterated Filter, Magic, Text &amp; Sticker, Upload Sticker, Product Sticker, Rating Sticker, ImageSticker, StickerView sharpness optimization, video-layer-only effects, and Magic icon UI optimization, covering asset download, panel interactions, editing state, export results, and cross-business reuse.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[4] Text, voice, and multilingual capabilities: Owned font engine replacement and upgrade, Text 2.0, nine-patch system font adaptation, fallback font optimization, Khmer language support, TTS, Speech-To-Text / Captions, and VoiceSDK AudioEngine public APIs, improving text, subtitle, voice, and internationalization experiences in video editing.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[5] AIGC: Contributed to AIGC Template batch content production, AI Try-on, AI Poster, Fitting Room, AIGC entry points, and RN callbacks; handled generation state, failure attribution, result passthrough, tracking, and multi-version compatibility.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[6] SDK engineering, package size, and release governance: Owned India package splitting, ARP system integration, zip algorithm package loading and runtime integrity validation, MediaSDK switch management, CloudConfig &amp; ABTest solidification, Demo/Podfile/build-package integration, release management, branch management, and late merge/prepackage, supporting high-frequency delivery across regions, businesses, and versions.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[7] Performance, stability, and online issue governance: Built key-flow technical reporting and DataSuite Dashboard, and fixed issues including missing linked products from Draft Box to publish page, Live ImageSticker retry, DB reporting field accuracy, photo-library Watchdog, crashes/OOM/memory leaks, black screens, main-thread stalls, and iOS 26 compatibility.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[8] Native/RN/Web Bridge and cross-team collaboration: Maintained MediaSDK public APIs and Bridge capabilities, packaging RN/Web-to-MediaSDK calls, Native-to-RN callbacks, and error code/result image/generation status/config field passthrough; collaborated with RN, Video, Live, Rating, VoiceSDK, MPI, and other teams to ensure integration quality across businesses.</w:t>
                  </w:r>
                </w:p>
              </w:tc>
            </w:tr>
            <w:tr>
              <w:trPr>
                <w:gridAfter w:val="1"/>
                <w:wAfter w:w="3" w:type="dxa"/>
                <w:trHeight w:val="300" w:hRule="atLeast"/>
              </w:trPr>
              <w:tc>
                <w:tcPr>
                  <w:tcW w:w="3147" w:type="dxa"/>
                </w:tcPr>
                <w:p>
                  <w:pPr>
                    <w:spacing w:before="160" w:after="40" w:line="240" w:lineRule="auto"/>
                    <w:rPr>
                      <w:rFonts w:hint="default"/>
                    </w:rPr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21"/>
                    </w:rPr>
                    <w:t>2015/07 - 2021/11</w:t>
                  </w:r>
                  <w:r>
                    <w:rPr>
                      <w:rFonts w:hint="default"/>
                      <w:b/>
                      <w:color w:val="555555"/>
                    </w:rPr>
                  </w:r>
                </w:p>
              </w:tc>
              <w:tc>
                <w:tcPr>
                  <w:tcW w:w="3143" w:type="dxa"/>
                </w:tcPr>
                <w:p>
                  <w:pPr>
                    <w:spacing w:after="40" w:line="240" w:lineRule="auto" w:before="160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21"/>
                    </w:rPr>
                    <w:t>Tencent WeSing - iOS Development</w:t>
                  </w:r>
                </w:p>
              </w:tc>
              <w:tc>
                <w:tcPr>
                  <w:tcW w:w="3142" w:type="dxa"/>
                </w:tcPr>
                <w:p>
                  <w:pPr>
                    <w:spacing w:before="160" w:after="40" w:line="240" w:lineRule="auto"/>
                    <w:jc w:val="right"/>
                  </w:pPr>
                  <w:r>
                    <w:rPr>
                      <w:rFonts w:ascii="Arial" w:hAnsi="Arial" w:eastAsia="Arial" w:cs="Arial"/>
                      <w:b/>
                      <w:color w:val="555555"/>
                      <w:sz w:val="21"/>
                    </w:rPr>
                    <w:t>Senior Engineer</w:t>
                  </w:r>
                </w:p>
              </w:tc>
            </w:tr>
            <w:tr>
              <w:trPr>
                <w:trHeight w:val="300" w:hRule="atLeast"/>
              </w:trPr>
              <w:tc>
                <w:tcPr>
                  <w:tcW w:w="9435" w:type="dxa"/>
                  <w:gridSpan w:val="4"/>
                </w:tcPr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Project Overview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Tencent WeSing is an audio/video social entertainment app. Main modules include account/login, social graph, upload/download, singing and recording, feed, audio/video playback, IM, comments, live streaming, karaoke rooms, mic-grab, ads, VIP, gifts, schema routing, analytics, video features, and video effects. I participated in iterations from v1.0 to v7.0.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[1] Downloading: Built and maintained core download capabilities, including resumable downloads, reliable caching, and scenario-specific support for avatars, images, accompaniments, and resource packages; handled task queues, priority scheduling, queue jumping, IPv6, DNS direct connection, error handling, retries, operational metrics, and traffic monitoring.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[2] Feed: Built and maintained feed components and the underlying layout engine. WeSing had 30+ feed types with large implementation differences, static and dynamic layouts, coupled legacy code, and difficult debugging. Work included layout engine improvements, memory optimization, performance monitoring, and pod componentization.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[3] Streaming Playback: Built and maintained global playback, improved audio/video playback experience, resolved playback anomalies, and maintained audio/video player SDKs.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1. Refactored and simplified playback flows with composition-oriented design; supported diverse playback scenarios and handled start, pause, seek, and black-screen issues.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2. Adapted different scenes on top of a common playback framework, including preloading, playback switching, UI decoupling, error handling/reporting, and operational metrics such as first-buffer, rebuffering, and success rate.</w:t>
                  </w:r>
                </w:p>
                <w:p>
                  <w:pPr>
                    <w:spacing w:before="0" w:after="40" w:line="240" w:lineRule="auto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sz w:val="17"/>
                    </w:rPr>
                    <w:t>3. Maintained and iterated player SDK business features.</w:t>
                  </w:r>
                </w:p>
              </w:tc>
            </w:tr>
          </w:tbl>
          <w:p/>
        </w:tc>
      </w:tr>
      <w:tr>
        <w:trPr>
          <w:trHeight w:val="500" w:hRule="atLeast"/>
        </w:trPr>
        <w:tc>
          <w:tcPr>
            <w:tcW w:w="9500" w:type="dxa"/>
            <w:gridSpan w:val="3"/>
            <w:vAlign w:val="bottom"/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b/>
                <w:color w:val="222222"/>
                <w:sz w:val="28"/>
                <w:szCs w:val="28"/>
              </w:rPr>
              <w:t>Self Evaluation</w:t>
            </w:r>
          </w:p>
        </w:tc>
      </w:tr>
      <w:tr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300" w:hRule="atLeast"/>
        </w:trPr>
        <w:tc>
          <w:tcPr>
            <w:tcW w:w="9500" w:type="dxa"/>
            <w:gridSpan w:val="3"/>
            <w:vAlign w:val="center"/>
          </w:tcPr>
          <w:tbl>
            <w:tblPr>
              <w:tblStyle w:val="2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FFFFFF" w:sz="0" w:space="0"/>
                <w:insideV w:val="single" w:color="FFFFFF" w:sz="0" w:space="0"/>
              </w:tblBorders>
              <w:tblLayout w:type="autofit"/>
              <w:tblCellMar>
                <w:top w:w="10" w:type="dxa"/>
                <w:left w:w="10" w:type="dxa"/>
                <w:bottom w:w="10" w:type="dxa"/>
                <w:right w:w="10" w:type="dxa"/>
              </w:tblCellMar>
            </w:tblPr>
            <w:tblGrid>
              <w:gridCol w:w="9435"/>
            </w:tblGrid>
            <w:tr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FFFFFF" w:sz="0" w:space="0"/>
                  <w:insideV w:val="single" w:color="FFFFFF" w:sz="0" w:space="0"/>
                </w:tblBorders>
              </w:tblPrEx>
              <w:trPr>
                <w:trHeight w:val="300" w:hRule="atLeast"/>
              </w:trPr>
              <w:tc>
                <w:tcPr>
                  <w:tcW w:w="9500" w:type="dxa"/>
                </w:tcPr>
                <w:p>
                  <w:pPr>
                    <w:spacing w:line="240" w:lineRule="auto" w:after="40"/>
                    <w:jc w:val="left"/>
                  </w:pPr>
                  <w:r>
                    <w:rPr>
                      <w:rFonts w:ascii="Arial" w:hAnsi="Arial" w:eastAsia="Arial" w:cs="Arial"/>
                      <w:color w:val="555555"/>
                      <w:sz w:val="17"/>
                    </w:rPr>
                    <w:t>1. Proactive and execution-focused, able to prioritize work and deliver efficiently. 2. Strengthen team practices, solve difficult problems, and drive projects forward. 3. Keep learning and improving continuously.</w:t>
                  </w:r>
                </w:p>
              </w:tc>
            </w:tr>
          </w:tbl>
          <w:p/>
        </w:tc>
      </w:tr>
      <w:tr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500" w:hRule="atLeast"/>
        </w:trPr>
        <w:tc>
          <w:tcPr>
            <w:tcW w:w="9500" w:type="dxa"/>
            <w:gridSpan w:val="3"/>
            <w:vAlign w:val="bottom"/>
          </w:tcPr>
          <w:p>
            <w:pPr>
              <w:spacing w:line="240" w:lineRule="auto"/>
            </w:pPr>
            <w:r>
              <w:rPr>
                <w:rFonts w:ascii="Arial" w:hAnsi="Arial" w:eastAsia="Arial" w:cs="Arial"/>
                <w:b/>
                <w:color w:val="222222"/>
                <w:sz w:val="28"/>
                <w:szCs w:val="28"/>
              </w:rPr>
              <w:t>Skills</w:t>
            </w:r>
          </w:p>
        </w:tc>
      </w:tr>
      <w:tr>
        <w:tblPrEx>
          <w:tblBorders>
            <w:top w:val="single" w:color="FFFFFF" w:sz="0" w:space="0"/>
            <w:left w:val="single" w:color="FFFFFF" w:sz="0" w:space="0"/>
            <w:bottom w:val="single" w:color="FFFFFF" w:sz="0" w:space="0"/>
            <w:right w:val="single" w:color="FFFFFF" w:sz="0" w:space="0"/>
            <w:insideH w:val="single" w:color="FFFFFF" w:sz="0" w:space="0"/>
            <w:insideV w:val="single" w:color="FFFFFF" w:sz="0" w:space="0"/>
          </w:tblBorders>
        </w:tblPrEx>
        <w:trPr>
          <w:trHeight w:val="300" w:hRule="atLeast"/>
        </w:trPr>
        <w:tc>
          <w:tcPr>
            <w:tcW w:w="9500" w:type="dxa"/>
            <w:gridSpan w:val="3"/>
            <w:vAlign w:val="center"/>
          </w:tcPr>
          <w:tbl>
            <w:tblPr>
              <w:tblStyle w:val="2"/>
              <w:tblW w:w="0" w:type="auto"/>
              <w:tblInd w:w="0" w:type="dxa"/>
              <w:tblBorders>
                <w:top w:val="single" w:color="FFFFFF" w:sz="0" w:space="0"/>
                <w:left w:val="single" w:color="FFFFFF" w:sz="0" w:space="0"/>
                <w:bottom w:val="single" w:color="FFFFFF" w:sz="0" w:space="0"/>
                <w:right w:val="single" w:color="FFFFFF" w:sz="0" w:space="0"/>
                <w:insideH w:val="single" w:color="FFFFFF" w:sz="0" w:space="0"/>
                <w:insideV w:val="single" w:color="FFFFFF" w:sz="0" w:space="0"/>
              </w:tblBorders>
              <w:tblLayout w:type="autofit"/>
              <w:tblCellMar>
                <w:top w:w="10" w:type="dxa"/>
                <w:left w:w="10" w:type="dxa"/>
                <w:bottom w:w="10" w:type="dxa"/>
                <w:right w:w="10" w:type="dxa"/>
              </w:tblCellMar>
            </w:tblPr>
            <w:tblGrid>
              <w:gridCol w:w="9435"/>
            </w:tblGrid>
            <w:tr>
              <w:tblPrEx>
                <w:tblBorders>
                  <w:top w:val="single" w:color="FFFFFF" w:sz="0" w:space="0"/>
                  <w:left w:val="single" w:color="FFFFFF" w:sz="0" w:space="0"/>
                  <w:bottom w:val="single" w:color="FFFFFF" w:sz="0" w:space="0"/>
                  <w:right w:val="single" w:color="FFFFFF" w:sz="0" w:space="0"/>
                  <w:insideH w:val="single" w:color="FFFFFF" w:sz="0" w:space="0"/>
                  <w:insideV w:val="single" w:color="FFFFFF" w:sz="0" w:space="0"/>
                </w:tblBorders>
              </w:tblPrEx>
              <w:trPr>
                <w:trHeight w:val="300" w:hRule="atLeast"/>
              </w:trPr>
              <w:tc>
                <w:tcPr>
                  <w:tcW w:w="9500" w:type="dxa"/>
                </w:tcPr>
                <w:p>
                  <w:pPr>
                    <w:spacing w:line="240" w:lineRule="auto"/>
                    <w:jc w:val="left"/>
                  </w:pPr>
                  <w:r>
                    <w:rPr>
                      <w:rFonts w:ascii="Arial" w:hAnsi="Arial" w:eastAsia="Arial" w:cs="Arial"/>
                      <w:color w:val="555555"/>
                      <w:sz w:val="17"/>
                    </w:rPr>
                    <w:t>Objective-C, Swift, iOS audio/video/camera/editor workflows, AVFoundation/Photos, React Native/Web Bridge, MediaSDK/SSZMediaFramework, AI Look/AI Poster/Fitting Room, performance monitoring and stability, Demo/Podfile/release management/GitHook/static scanning/LinkMap, SDK engineering, Flutter, Git, HTTP</w:t>
                  </w:r>
                </w:p>
              </w:tc>
            </w:tr>
          </w:tbl>
          <w:p/>
        </w:tc>
      </w:tr>
    </w:tbl>
    <w:p/>
    <w:sectPr>
      <w:pgSz w:w="11870" w:h="16787"/>
      <w:pgMar w:top="1100" w:right="1200" w:bottom="1100" w:left="12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00000000" w:usb1="00000000" w:usb2="00000000" w:usb3="00000000" w:csb0="000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000000"/>
    <w:rsid w:val="9DF69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="微软雅黑"/>
      <w:sz w:val="19"/>
      <w:szCs w:val="19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otnote reference"/>
    <w:semiHidden/>
    <w:unhideWhenUsed/>
    <w:qFormat/>
    <w:uiPriority w:val="0"/>
    <w:rPr>
      <w:vertAlign w:val="superscript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简历本|www.jianliben.com</Company>
  <TotalTime>19</TotalTime>
  <ScaleCrop>false</ScaleCrop>
  <LinksUpToDate>false</LinksUpToDate>
  <Application>WPS Office_4.4.1.7360_F1E327BC-269C-435d-A152-05C5408002CA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Word简历</cp:category>
  <dcterms:created xsi:type="dcterms:W3CDTF">1900-01-00T00:00:00Z</dcterms:created>
  <dc:creator>简历本</dc:creator>
  <cp:keywords>简历本, Word简历导出</cp:keywords>
  <cp:lastModifiedBy>xieluhui08</cp:lastModifiedBy>
  <dcterms:modified xsi:type="dcterms:W3CDTF">2022-12-16T16:25:45Z</dcterms:modified>
  <dc:subject>我的Word简历</dc:subject>
  <dc:title>我的Word简历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2052-4.4.1.7360</vt:lpwstr>
  </property>
  <property fmtid="{D5CDD505-2E9C-101B-9397-08002B2CF9AE}" pid="3" name="ICV">
    <vt:lpwstr>080FA410FE216151892B9C63AC2C927F</vt:lpwstr>
  </property>
</Properties>
</file>