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Word source</w:t>
      </w:r>
    </w:p>
    <w:p>
      <w:r>
        <w:t>Unicode 中文; measured value 12 watts. Private source stays in worker.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Unit</w:t>
            </w:r>
          </w:p>
        </w:tc>
      </w:tr>
      <w:tr>
        <w:tc>
          <w:tcPr>
            <w:tcW w:type="dxa" w:w="4320"/>
          </w:tcPr>
          <w:p>
            <w:r>
              <w:t>Sample</w:t>
            </w:r>
          </w:p>
        </w:tc>
        <w:tc>
          <w:tcPr>
            <w:tcW w:type="dxa" w:w="4320"/>
          </w:tcPr>
          <w:p>
            <w:r>
              <w:t>12 watts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2743200" cy="114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Synthetic source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Synthetic fixture</dc:creator>
  <ns0:keywords/>
  <dc:description>generated by python-docx</dc:description>
  <ns0:lastModifiedBy>Synthetic fixture</ns0:lastModifiedBy>
  <ns0:revision>1</ns0:revision>
  <ns2:created xsi:type="dcterms:W3CDTF">2013-12-23T23:15:00Z</ns2:created>
  <ns2:modified xsi:type="dcterms:W3CDTF">2013-12-23T23:15:00Z</ns2:modified>
  <ns0:category/>
</ns0:coreProperties>
</file>