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Word source</w:t>
      </w:r>
    </w:p>
    <w:p>
      <w:r>
        <w:t>Unicode 中文; measured value 12 watts. Private source stays in worker.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Unit</w:t>
            </w:r>
          </w:p>
        </w:tc>
      </w:tr>
      <w:tr>
        <w:tc>
          <w:tcPr>
            <w:tcW w:type="dxa" w:w="4320"/>
          </w:tcPr>
          <w:p>
            <w:r>
              <w:t>Sample</w:t>
            </w:r>
          </w:p>
        </w:tc>
        <w:tc>
          <w:tcPr>
            <w:tcW w:type="dxa" w:w="4320"/>
          </w:tcPr>
          <w:p>
            <w:r>
              <w:t>12 watts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27432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Synthetic source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