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line="394" w:lineRule="atLeast"/>
        <w:ind w:left="0" w:firstLine="420"/>
        <w:jc w:val="both"/>
        <w:rPr>
          <w:rFonts w:ascii="微软雅黑" w:hAnsi="微软雅黑" w:eastAsia="微软雅黑" w:cs="微软雅黑"/>
          <w:i w:val="0"/>
          <w:caps w:val="0"/>
          <w:color w:val="555555"/>
          <w:spacing w:val="0"/>
          <w:sz w:val="23"/>
          <w:szCs w:val="23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3"/>
          <w:szCs w:val="23"/>
          <w:shd w:val="clear" w:fill="FFFFFF"/>
        </w:rPr>
        <w:t>病例19：男，36岁，现住郑州市惠济区古荥镇海棠苑小区。1月13日乘坐G2032高铁（3车厢）从武汉到达郑州，1月22日开车去新密，1月24日到新密市中医院就诊，1月25日确诊。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335D02"/>
    <w:rsid w:val="4F335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2020-06-15T12:24:00Z</dcterms:created>
  <dc:creator>，</dc:creator>
  <cp:lastModifiedBy>，</cp:lastModifiedBy>
  <dcterms:modified xsi:type="dcterms:W3CDTF">2020-06-15T12:25:03Z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