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2E8D2" w14:textId="2F936EE5" w:rsidR="008C0DE7" w:rsidRDefault="00C56F8C">
      <w:r>
        <w:t>病例44：女，47岁，现住郑州市管城区航海</w:t>
      </w:r>
      <w:proofErr w:type="gramStart"/>
      <w:r>
        <w:t>东路正商蓝</w:t>
      </w:r>
      <w:proofErr w:type="gramEnd"/>
      <w:r>
        <w:t>钻小区。1月19日自驾到南宁探亲，接触疑似患者，1月26日上午驾车从广西返回郑州，1月28日由120急救车送至郑州市第六人民医院治疗，1月29日确诊。</w:t>
      </w:r>
    </w:p>
    <w:sectPr w:rsidR="008C0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E7"/>
    <w:rsid w:val="008C0DE7"/>
    <w:rsid w:val="00C5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0497"/>
  <w15:chartTrackingRefBased/>
  <w15:docId w15:val="{9E5F404D-4C2D-4462-AC88-314DE221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2020-06-16T04:51:00Z</dcterms:created>
  <dcterms:modified xsi:type="dcterms:W3CDTF">2020-06-16T05:01:00Z</dcterms:modified>
</cp:coreProperties>
</file>