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A561C" w14:textId="78BB0BF9" w:rsidR="000A6537" w:rsidRPr="000A6537" w:rsidRDefault="000A6537" w:rsidP="000A6537">
      <w:r>
        <w:t>病例52：男，54岁（为病例48家属），现住郑州市管城区十八里河办事处。1月30日至郑州市第一人民医院就诊，1月31日确诊。</w:t>
      </w:r>
    </w:p>
    <w:sectPr w:rsidR="000A6537" w:rsidRPr="000A6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37"/>
    <w:rsid w:val="000A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80D4"/>
  <w15:chartTrackingRefBased/>
  <w15:docId w15:val="{E0BEA8C0-0B6C-4C18-8CE6-07206397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1</cp:revision>
  <dcterms:created xsi:type="dcterms:W3CDTF">2020-06-16T05:24:00Z</dcterms:created>
  <dcterms:modified xsi:type="dcterms:W3CDTF">2020-06-16T05:25:00Z</dcterms:modified>
</cp:coreProperties>
</file>