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29AC5373" w:rsidR="0045435E" w:rsidRPr="00DB4DC7" w:rsidRDefault="00DB4DC7" w:rsidP="00DB4DC7">
      <w:r>
        <w:t>病例67：女，40岁，现住新密市白寨镇。从1月20日开始与疑似病例共同生活，1月30日乘私家车到新密市白寨镇卫生院就诊，由120救护车转运至新密市第一人民医院就诊，2月2日确诊。</w:t>
      </w:r>
    </w:p>
    <w:sectPr w:rsidR="0045435E" w:rsidRPr="00DB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68264B"/>
    <w:rsid w:val="007C267C"/>
    <w:rsid w:val="007F6318"/>
    <w:rsid w:val="00872B80"/>
    <w:rsid w:val="00BE3881"/>
    <w:rsid w:val="00BE5ECB"/>
    <w:rsid w:val="00DB4DC7"/>
    <w:rsid w:val="00DF6E66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2020-06-16T08:10:00Z</dcterms:created>
  <dcterms:modified xsi:type="dcterms:W3CDTF">2020-06-16T08:10:00Z</dcterms:modified>
</cp:coreProperties>
</file>