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MODBUS协议特点:</w:t>
      </w:r>
    </w:p>
    <w:p>
      <w:pPr>
        <w:numPr>
          <w:ilvl w:val="0"/>
          <w:numId w:val="1"/>
        </w:numPr>
        <w:rPr>
          <w:rFonts w:hint="eastAsia"/>
          <w:lang w:val="en-US" w:eastAsia="zh-CN"/>
        </w:rPr>
      </w:pPr>
      <w:r>
        <w:rPr>
          <w:rFonts w:hint="eastAsia"/>
          <w:lang w:val="en-US" w:eastAsia="zh-CN"/>
        </w:rPr>
        <w:t>ModBus为Schneider开发的一种通信协议，目前已经成为工业上的通讯标准。</w:t>
      </w:r>
    </w:p>
    <w:p>
      <w:pPr>
        <w:numPr>
          <w:ilvl w:val="0"/>
          <w:numId w:val="1"/>
        </w:numPr>
        <w:rPr>
          <w:rFonts w:hint="eastAsia"/>
          <w:lang w:val="en-US" w:eastAsia="zh-CN"/>
        </w:rPr>
      </w:pPr>
      <w:r>
        <w:rPr>
          <w:rFonts w:hint="eastAsia"/>
          <w:lang w:val="en-US" w:eastAsia="zh-CN"/>
        </w:rPr>
        <w:t>多工业设备，包括PLC,DCS,变频器，智能仪表等都在应用。</w:t>
      </w:r>
    </w:p>
    <w:p>
      <w:pPr>
        <w:widowControl w:val="0"/>
        <w:numPr>
          <w:ilvl w:val="0"/>
          <w:numId w:val="1"/>
        </w:numPr>
        <w:jc w:val="both"/>
        <w:rPr>
          <w:rFonts w:hint="eastAsia"/>
          <w:lang w:val="en-US" w:eastAsia="zh-CN"/>
        </w:rPr>
      </w:pPr>
      <w:r>
        <w:rPr>
          <w:rFonts w:hint="eastAsia"/>
          <w:lang w:val="en-US" w:eastAsia="zh-CN"/>
        </w:rPr>
        <w:t>Modbus支持多种电气接口，如RS-232，RS-485等，还可以在各种介质上传送，如双绞线，光纤，无线</w:t>
      </w:r>
    </w:p>
    <w:p>
      <w:pPr>
        <w:widowControl w:val="0"/>
        <w:numPr>
          <w:ilvl w:val="0"/>
          <w:numId w:val="1"/>
        </w:numPr>
        <w:jc w:val="both"/>
        <w:rPr>
          <w:rFonts w:hint="eastAsia"/>
          <w:lang w:val="en-US" w:eastAsia="zh-CN"/>
        </w:rPr>
      </w:pPr>
      <w:r>
        <w:rPr>
          <w:rFonts w:hint="eastAsia"/>
          <w:lang w:val="en-US" w:eastAsia="zh-CN"/>
        </w:rPr>
        <w:t>Modbus协议完全免费；帧格式简单，紧凑。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一．通信协议</w:t>
      </w:r>
    </w:p>
    <w:p>
      <w:pPr>
        <w:widowControl w:val="0"/>
        <w:numPr>
          <w:numId w:val="0"/>
        </w:numPr>
        <w:jc w:val="both"/>
        <w:rPr>
          <w:rFonts w:hint="eastAsia"/>
          <w:lang w:val="en-US" w:eastAsia="zh-CN"/>
        </w:rPr>
      </w:pPr>
      <w:r>
        <w:rPr>
          <w:rFonts w:hint="eastAsia"/>
          <w:b/>
          <w:bCs/>
          <w:lang w:val="en-US" w:eastAsia="zh-CN"/>
        </w:rPr>
        <w:t>硬件层协议</w:t>
      </w:r>
      <w:r>
        <w:rPr>
          <w:rFonts w:hint="eastAsia"/>
          <w:lang w:val="en-US" w:eastAsia="zh-CN"/>
        </w:rPr>
        <w:t>：主要是用来解决0和1的可靠传输问题，如RS232，RS485，CAN，I2C，SPI等，每一种硬件层通信协议都有各自的一套解决方法，都很好。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TTL电平的缺点是信号线上的干扰信号也会跟随有效信号一起传到接收端，485通信实际上就是把MCU所出来的TTL电平进行一个转换。</w:t>
      </w:r>
    </w:p>
    <w:p>
      <w:pPr>
        <w:widowControl w:val="0"/>
        <w:numPr>
          <w:numId w:val="0"/>
        </w:numPr>
        <w:jc w:val="both"/>
        <w:rPr>
          <w:rFonts w:hint="eastAsia"/>
          <w:lang w:val="en-US" w:eastAsia="zh-CN"/>
        </w:rPr>
      </w:pPr>
      <w:r>
        <w:drawing>
          <wp:inline distT="0" distB="0" distL="114300" distR="114300">
            <wp:extent cx="5271770" cy="1530350"/>
            <wp:effectExtent l="0" t="0" r="5080" b="12700"/>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pic:cNvPicPr>
                      <a:picLocks noChangeAspect="1"/>
                    </pic:cNvPicPr>
                  </pic:nvPicPr>
                  <pic:blipFill>
                    <a:blip r:embed="rId4"/>
                    <a:stretch>
                      <a:fillRect/>
                    </a:stretch>
                  </pic:blipFill>
                  <pic:spPr>
                    <a:xfrm>
                      <a:off x="0" y="0"/>
                      <a:ext cx="5271770" cy="153035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ilvl w:val="0"/>
          <w:numId w:val="0"/>
        </w:numPr>
        <w:jc w:val="both"/>
        <w:rPr>
          <w:rFonts w:hint="eastAsia"/>
          <w:lang w:val="en-US" w:eastAsia="zh-CN"/>
        </w:rPr>
      </w:pPr>
      <w:r>
        <w:rPr>
          <w:rFonts w:hint="eastAsia"/>
          <w:b/>
          <w:bCs/>
          <w:lang w:val="en-US" w:eastAsia="zh-CN"/>
        </w:rPr>
        <w:t>软件层协议</w:t>
      </w:r>
      <w:r>
        <w:rPr>
          <w:rFonts w:hint="eastAsia"/>
          <w:lang w:val="en-US" w:eastAsia="zh-CN"/>
        </w:rPr>
        <w:t>：在硬件层数据传输上建立一个交通规则，可以保障有序的传输，如MODBUS，TCP/IP等。</w:t>
      </w:r>
    </w:p>
    <w:p>
      <w:pPr>
        <w:widowControl w:val="0"/>
        <w:numPr>
          <w:ilvl w:val="0"/>
          <w:numId w:val="0"/>
        </w:numPr>
        <w:jc w:val="both"/>
        <w:rPr>
          <w:rFonts w:hint="eastAsia"/>
          <w:lang w:val="en-US" w:eastAsia="zh-CN"/>
        </w:rPr>
      </w:pPr>
      <w:r>
        <w:rPr>
          <w:rFonts w:hint="eastAsia"/>
          <w:lang w:val="en-US" w:eastAsia="zh-CN"/>
        </w:rPr>
        <w:t>①单工方式</w:t>
      </w:r>
    </w:p>
    <w:p>
      <w:pPr>
        <w:widowControl w:val="0"/>
        <w:numPr>
          <w:ilvl w:val="0"/>
          <w:numId w:val="0"/>
        </w:numPr>
        <w:jc w:val="both"/>
        <w:rPr>
          <w:rFonts w:hint="eastAsia"/>
          <w:lang w:val="en-US" w:eastAsia="zh-CN"/>
        </w:rPr>
      </w:pPr>
      <w:r>
        <w:rPr>
          <w:rFonts w:hint="eastAsia"/>
          <w:lang w:val="en-US" w:eastAsia="zh-CN"/>
        </w:rPr>
        <w:t xml:space="preserve">②半双工方式（主从模式） </w:t>
      </w:r>
    </w:p>
    <w:p>
      <w:pPr>
        <w:widowControl w:val="0"/>
        <w:numPr>
          <w:ilvl w:val="0"/>
          <w:numId w:val="0"/>
        </w:numPr>
        <w:jc w:val="both"/>
        <w:rPr>
          <w:rFonts w:hint="eastAsia"/>
          <w:lang w:val="en-US" w:eastAsia="zh-CN"/>
        </w:rPr>
      </w:pPr>
      <w:r>
        <w:rPr>
          <w:rFonts w:hint="eastAsia"/>
          <w:lang w:val="en-US" w:eastAsia="zh-CN"/>
        </w:rPr>
        <w:t xml:space="preserve">  系统中只有一个设备是主机；系统中的所有从机都不可以主动向主机发数据；系统中的主机和所有的从机上电后都要处于接收（监听）方式；任何一次的数据交换都要由主机发起【主机将寄几转为发送状态；主机按照预先约定的格式发出寻址数据帧--&gt;恢复寄几的接收状态；等待所寻址的从机做回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jc w:val="both"/>
        <w:rPr>
          <w:rFonts w:hint="eastAsia"/>
          <w:b/>
          <w:bCs/>
          <w:lang w:val="en-US" w:eastAsia="zh-CN"/>
        </w:rPr>
      </w:pPr>
      <w:r>
        <w:rPr>
          <w:rFonts w:hint="eastAsia"/>
          <w:b/>
          <w:bCs/>
          <w:lang w:val="en-US" w:eastAsia="zh-CN"/>
        </w:rPr>
        <w:t>MODBUS（基于485的MODBUS）</w:t>
      </w:r>
    </w:p>
    <w:p>
      <w:pPr>
        <w:widowControl w:val="0"/>
        <w:numPr>
          <w:numId w:val="0"/>
        </w:numPr>
        <w:jc w:val="both"/>
        <w:rPr>
          <w:rFonts w:hint="eastAsia"/>
          <w:lang w:val="en-US" w:eastAsia="zh-CN"/>
        </w:rPr>
      </w:pPr>
      <w:r>
        <w:drawing>
          <wp:inline distT="0" distB="0" distL="114300" distR="114300">
            <wp:extent cx="4705985" cy="2240280"/>
            <wp:effectExtent l="0" t="0" r="18415" b="7620"/>
            <wp:docPr id="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
                    <pic:cNvPicPr>
                      <a:picLocks noChangeAspect="1"/>
                    </pic:cNvPicPr>
                  </pic:nvPicPr>
                  <pic:blipFill>
                    <a:blip r:embed="rId5"/>
                    <a:stretch>
                      <a:fillRect/>
                    </a:stretch>
                  </pic:blipFill>
                  <pic:spPr>
                    <a:xfrm>
                      <a:off x="0" y="0"/>
                      <a:ext cx="4705985" cy="2240280"/>
                    </a:xfrm>
                    <a:prstGeom prst="rect">
                      <a:avLst/>
                    </a:prstGeom>
                    <a:noFill/>
                    <a:ln w="9525">
                      <a:noFill/>
                    </a:ln>
                  </pic:spPr>
                </pic:pic>
              </a:graphicData>
            </a:graphic>
          </wp:inline>
        </w:drawing>
      </w:r>
    </w:p>
    <w:p>
      <w:pPr>
        <w:widowControl w:val="0"/>
        <w:numPr>
          <w:ilvl w:val="0"/>
          <w:numId w:val="3"/>
        </w:numPr>
        <w:jc w:val="both"/>
        <w:rPr>
          <w:rFonts w:hint="eastAsia"/>
          <w:lang w:val="en-US" w:eastAsia="zh-CN"/>
        </w:rPr>
      </w:pPr>
      <w:r>
        <w:rPr>
          <w:rFonts w:hint="eastAsia"/>
          <w:b/>
          <w:bCs/>
          <w:lang w:val="en-US" w:eastAsia="zh-CN"/>
        </w:rPr>
        <w:t>主从模式</w:t>
      </w:r>
      <w:r>
        <w:rPr>
          <w:rFonts w:hint="eastAsia"/>
          <w:lang w:val="en-US" w:eastAsia="zh-CN"/>
        </w:rPr>
        <w:t>：整个系统只有一个主机，每个从机必须有一个唯一的地址（0~247）。0号地址为广播地址，是主机保留的，也就是说当主机向0号地址的设备发数据包时，每个从机都要接收数据。但0号地址的数据包，所有从机不予回应，否则会乱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3"/>
        </w:numPr>
        <w:jc w:val="both"/>
        <w:rPr>
          <w:rFonts w:hint="eastAsia"/>
          <w:b/>
          <w:bCs/>
          <w:lang w:val="en-US" w:eastAsia="zh-CN"/>
        </w:rPr>
      </w:pPr>
      <w:r>
        <w:rPr>
          <w:rFonts w:hint="eastAsia"/>
          <w:b/>
          <w:bCs/>
          <w:lang w:val="en-US" w:eastAsia="zh-CN"/>
        </w:rPr>
        <w:t>MODBUS的主机寻址帧格式</w:t>
      </w:r>
    </w:p>
    <w:p>
      <w:pPr>
        <w:widowControl w:val="0"/>
        <w:numPr>
          <w:numId w:val="0"/>
        </w:numPr>
        <w:jc w:val="both"/>
        <w:rPr>
          <w:rFonts w:hint="eastAsia"/>
          <w:lang w:val="en-US" w:eastAsia="zh-CN"/>
        </w:rPr>
      </w:pPr>
      <w:r>
        <w:rPr>
          <w:rFonts w:hint="eastAsia"/>
          <w:lang w:val="en-US" w:eastAsia="zh-CN"/>
        </w:rPr>
        <w:t>两种传输方式：</w:t>
      </w:r>
    </w:p>
    <w:p>
      <w:pPr>
        <w:widowControl w:val="0"/>
        <w:numPr>
          <w:numId w:val="0"/>
        </w:numPr>
        <w:jc w:val="both"/>
        <w:rPr>
          <w:rFonts w:hint="eastAsia"/>
          <w:lang w:val="en-US" w:eastAsia="zh-CN"/>
        </w:rPr>
      </w:pPr>
      <w:r>
        <w:rPr>
          <w:rFonts w:hint="eastAsia"/>
          <w:b/>
          <w:bCs/>
          <w:lang w:val="en-US" w:eastAsia="zh-CN"/>
        </w:rPr>
        <w:t>RTU方式</w:t>
      </w:r>
      <w:r>
        <w:rPr>
          <w:rFonts w:hint="eastAsia"/>
          <w:lang w:val="en-US" w:eastAsia="zh-CN"/>
        </w:rPr>
        <w:t>（十六进制方式）  例如0X03-----&gt;0000 0011 低位开始一位位的发送</w:t>
      </w:r>
    </w:p>
    <w:p>
      <w:pPr>
        <w:widowControl w:val="0"/>
        <w:numPr>
          <w:numId w:val="0"/>
        </w:numPr>
        <w:jc w:val="both"/>
        <w:rPr>
          <w:rFonts w:hint="eastAsia"/>
          <w:lang w:val="en-US" w:eastAsia="zh-CN"/>
        </w:rPr>
      </w:pPr>
      <w:r>
        <w:rPr>
          <w:rFonts w:hint="eastAsia"/>
          <w:lang w:val="en-US" w:eastAsia="zh-CN"/>
        </w:rPr>
        <w:t xml:space="preserve"> </w:t>
      </w:r>
      <w:r>
        <w:drawing>
          <wp:inline distT="0" distB="0" distL="114300" distR="114300">
            <wp:extent cx="635" cy="0"/>
            <wp:effectExtent l="0" t="0" r="0" b="0"/>
            <wp:docPr id="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pic:cNvPicPr>
                      <a:picLocks noChangeAspect="1"/>
                    </pic:cNvPicPr>
                  </pic:nvPicPr>
                  <pic:blipFill>
                    <a:blip r:embed="rId6"/>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3923665" cy="1162050"/>
            <wp:effectExtent l="0" t="0" r="635" b="0"/>
            <wp:docPr id="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
                    <pic:cNvPicPr>
                      <a:picLocks noChangeAspect="1"/>
                    </pic:cNvPicPr>
                  </pic:nvPicPr>
                  <pic:blipFill>
                    <a:blip r:embed="rId7"/>
                    <a:stretch>
                      <a:fillRect/>
                    </a:stretch>
                  </pic:blipFill>
                  <pic:spPr>
                    <a:xfrm>
                      <a:off x="0" y="0"/>
                      <a:ext cx="3923665" cy="116205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从机以接收数据停止时间达到3.5个字节以上就认为主机的寻址帧完成并开始处理。</w:t>
      </w:r>
    </w:p>
    <w:p>
      <w:pPr>
        <w:widowControl w:val="0"/>
        <w:numPr>
          <w:numId w:val="0"/>
        </w:numPr>
        <w:jc w:val="both"/>
        <w:rPr>
          <w:rFonts w:hint="eastAsia"/>
          <w:lang w:val="en-US" w:eastAsia="zh-CN"/>
        </w:rPr>
      </w:pPr>
      <w:r>
        <w:rPr>
          <w:rFonts w:hint="eastAsia"/>
          <w:lang w:val="en-US" w:eastAsia="zh-CN"/>
        </w:rPr>
        <w:t>例如：波特率选9600bit/s，所以每位数据传输的时间t = 1000 000us / 9600bit = 104us</w:t>
      </w:r>
    </w:p>
    <w:p>
      <w:pPr>
        <w:widowControl w:val="0"/>
        <w:numPr>
          <w:numId w:val="0"/>
        </w:numPr>
        <w:jc w:val="both"/>
      </w:pPr>
      <w:r>
        <w:drawing>
          <wp:inline distT="0" distB="0" distL="114300" distR="114300">
            <wp:extent cx="3389630" cy="1117600"/>
            <wp:effectExtent l="0" t="0" r="1270" b="6350"/>
            <wp:docPr id="1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
                    <pic:cNvPicPr>
                      <a:picLocks noChangeAspect="1"/>
                    </pic:cNvPicPr>
                  </pic:nvPicPr>
                  <pic:blipFill>
                    <a:blip r:embed="rId8"/>
                    <a:stretch>
                      <a:fillRect/>
                    </a:stretch>
                  </pic:blipFill>
                  <pic:spPr>
                    <a:xfrm>
                      <a:off x="0" y="0"/>
                      <a:ext cx="3389630" cy="111760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eastAsia="zh-CN"/>
        </w:rPr>
        <w:t>一个字节的时间</w:t>
      </w:r>
      <w:r>
        <w:rPr>
          <w:rFonts w:hint="eastAsia"/>
          <w:lang w:val="en-US" w:eastAsia="zh-CN"/>
        </w:rPr>
        <w:t>T = 10t = 104us *10 = 1040us   3.5T =  3645us = 4mm</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b/>
          <w:bCs/>
          <w:lang w:val="en-US" w:eastAsia="zh-CN"/>
        </w:rPr>
        <w:t>ASC方式</w:t>
      </w:r>
      <w:r>
        <w:rPr>
          <w:rFonts w:hint="eastAsia"/>
          <w:lang w:val="en-US" w:eastAsia="zh-CN"/>
        </w:rPr>
        <w:t xml:space="preserve">  例如0x03  </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---&gt;0x30---&gt;0011 0000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----&gt;0x33----&gt;0011 0011</w:t>
      </w:r>
    </w:p>
    <w:p>
      <w:pPr>
        <w:widowControl w:val="0"/>
        <w:numPr>
          <w:numId w:val="0"/>
        </w:numPr>
        <w:jc w:val="both"/>
      </w:pPr>
      <w:r>
        <w:drawing>
          <wp:inline distT="0" distB="0" distL="114300" distR="114300">
            <wp:extent cx="4895215" cy="1314450"/>
            <wp:effectExtent l="0" t="0" r="635" b="0"/>
            <wp:docPr id="1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
                    <pic:cNvPicPr>
                      <a:picLocks noChangeAspect="1"/>
                    </pic:cNvPicPr>
                  </pic:nvPicPr>
                  <pic:blipFill>
                    <a:blip r:embed="rId9"/>
                    <a:stretch>
                      <a:fillRect/>
                    </a:stretch>
                  </pic:blipFill>
                  <pic:spPr>
                    <a:xfrm>
                      <a:off x="0" y="0"/>
                      <a:ext cx="4895215" cy="131445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 xml:space="preserve">LRC校验码 =  </w:t>
      </w:r>
      <w:r>
        <w:rPr>
          <w:rFonts w:hint="eastAsia"/>
          <w:b/>
          <w:bCs/>
          <w:lang w:val="en-US" w:eastAsia="zh-CN"/>
        </w:rPr>
        <w:t>~</w:t>
      </w:r>
      <w:r>
        <w:rPr>
          <w:rFonts w:hint="eastAsia"/>
          <w:lang w:val="en-US" w:eastAsia="zh-CN"/>
        </w:rPr>
        <w:t xml:space="preserve"> [（地址 + 功能码 + 数据1 + ........ + 数据n）%256 ] + 1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3"/>
        </w:numPr>
        <w:jc w:val="both"/>
        <w:rPr>
          <w:rFonts w:hint="eastAsia"/>
          <w:b/>
          <w:bCs/>
          <w:lang w:val="en-US" w:eastAsia="zh-CN"/>
        </w:rPr>
      </w:pPr>
      <w:r>
        <w:rPr>
          <w:rFonts w:hint="eastAsia"/>
          <w:b/>
          <w:bCs/>
          <w:lang w:val="en-US" w:eastAsia="zh-CN"/>
        </w:rPr>
        <w:t>MODBUS从设备的回应数据包格式</w:t>
      </w:r>
    </w:p>
    <w:p>
      <w:pPr>
        <w:widowControl w:val="0"/>
        <w:numPr>
          <w:numId w:val="0"/>
        </w:numPr>
        <w:jc w:val="both"/>
        <w:rPr>
          <w:rFonts w:hint="eastAsia"/>
          <w:b/>
          <w:bCs/>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①回应的数据包与主机查询的数据包格式一致</w:t>
      </w:r>
    </w:p>
    <w:p>
      <w:pPr>
        <w:widowControl w:val="0"/>
        <w:numPr>
          <w:numId w:val="0"/>
        </w:numPr>
        <w:jc w:val="both"/>
        <w:rPr>
          <w:rFonts w:hint="eastAsia"/>
          <w:b w:val="0"/>
          <w:bCs w:val="0"/>
          <w:lang w:val="en-US" w:eastAsia="zh-CN"/>
        </w:rPr>
      </w:pPr>
      <w:r>
        <w:rPr>
          <w:rFonts w:hint="eastAsia"/>
          <w:b w:val="0"/>
          <w:bCs w:val="0"/>
          <w:lang w:val="en-US" w:eastAsia="zh-CN"/>
        </w:rPr>
        <w:t>②正常的回应时，功能码与主机发的功能码一致（1~127）；</w:t>
      </w:r>
    </w:p>
    <w:p>
      <w:pPr>
        <w:widowControl w:val="0"/>
        <w:numPr>
          <w:numId w:val="0"/>
        </w:numPr>
        <w:jc w:val="both"/>
        <w:rPr>
          <w:rFonts w:hint="eastAsia"/>
          <w:b w:val="0"/>
          <w:bCs w:val="0"/>
          <w:lang w:val="en-US" w:eastAsia="zh-CN"/>
        </w:rPr>
      </w:pPr>
      <w:r>
        <w:rPr>
          <w:rFonts w:hint="eastAsia"/>
          <w:b w:val="0"/>
          <w:bCs w:val="0"/>
          <w:lang w:val="en-US" w:eastAsia="zh-CN"/>
        </w:rPr>
        <w:t xml:space="preserve">  异常回应时，功能码要在收到的功能码上加128。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p>
      <w:pPr>
        <w:widowControl w:val="0"/>
        <w:numPr>
          <w:ilvl w:val="0"/>
          <w:numId w:val="3"/>
        </w:numPr>
        <w:jc w:val="both"/>
        <w:rPr>
          <w:rFonts w:hint="eastAsia"/>
          <w:b/>
          <w:bCs/>
          <w:lang w:val="en-US" w:eastAsia="zh-CN"/>
        </w:rPr>
      </w:pPr>
      <w:r>
        <w:rPr>
          <w:rFonts w:hint="eastAsia"/>
          <w:b/>
          <w:bCs/>
          <w:lang w:val="en-US" w:eastAsia="zh-CN"/>
        </w:rPr>
        <w:t>MODBUS从机协议实现</w:t>
      </w:r>
    </w:p>
    <w:p>
      <w:pPr>
        <w:widowControl w:val="0"/>
        <w:numPr>
          <w:numId w:val="0"/>
        </w:numPr>
        <w:jc w:val="both"/>
        <w:rPr>
          <w:rFonts w:hint="eastAsia"/>
          <w:b w:val="0"/>
          <w:bCs w:val="0"/>
          <w:lang w:val="en-US" w:eastAsia="zh-CN"/>
        </w:rPr>
      </w:pPr>
      <w:r>
        <w:rPr>
          <w:rFonts w:hint="eastAsia"/>
          <w:b w:val="0"/>
          <w:bCs w:val="0"/>
          <w:lang w:val="en-US" w:eastAsia="zh-CN"/>
        </w:rPr>
        <w:t>①硬件上具备串口或者485接口；</w:t>
      </w:r>
    </w:p>
    <w:p>
      <w:pPr>
        <w:widowControl w:val="0"/>
        <w:numPr>
          <w:numId w:val="0"/>
        </w:numPr>
        <w:jc w:val="both"/>
        <w:rPr>
          <w:rFonts w:hint="eastAsia"/>
          <w:b w:val="0"/>
          <w:bCs w:val="0"/>
          <w:lang w:val="en-US" w:eastAsia="zh-CN"/>
        </w:rPr>
      </w:pPr>
      <w:r>
        <w:rPr>
          <w:rFonts w:hint="eastAsia"/>
          <w:b w:val="0"/>
          <w:bCs w:val="0"/>
          <w:lang w:val="en-US" w:eastAsia="zh-CN"/>
        </w:rPr>
        <w:t>②硬件上需要1个精确到毫秒级的定时器</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85D3"/>
    <w:multiLevelType w:val="singleLevel"/>
    <w:tmpl w:val="58AA85D3"/>
    <w:lvl w:ilvl="0" w:tentative="0">
      <w:start w:val="1"/>
      <w:numFmt w:val="decimal"/>
      <w:suff w:val="nothing"/>
      <w:lvlText w:val="%1."/>
      <w:lvlJc w:val="left"/>
    </w:lvl>
  </w:abstractNum>
  <w:abstractNum w:abstractNumId="1">
    <w:nsid w:val="58AAAF5F"/>
    <w:multiLevelType w:val="singleLevel"/>
    <w:tmpl w:val="58AAAF5F"/>
    <w:lvl w:ilvl="0" w:tentative="0">
      <w:start w:val="2"/>
      <w:numFmt w:val="chineseCounting"/>
      <w:suff w:val="nothing"/>
      <w:lvlText w:val="%1．"/>
      <w:lvlJc w:val="left"/>
    </w:lvl>
  </w:abstractNum>
  <w:abstractNum w:abstractNumId="2">
    <w:nsid w:val="58AAC222"/>
    <w:multiLevelType w:val="singleLevel"/>
    <w:tmpl w:val="58AAC22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3619"/>
    <w:rsid w:val="014809D8"/>
    <w:rsid w:val="01634261"/>
    <w:rsid w:val="01742072"/>
    <w:rsid w:val="018E56F3"/>
    <w:rsid w:val="01AB75B3"/>
    <w:rsid w:val="01F16F3B"/>
    <w:rsid w:val="02FE2285"/>
    <w:rsid w:val="03087370"/>
    <w:rsid w:val="059F2AA9"/>
    <w:rsid w:val="05B8592A"/>
    <w:rsid w:val="06C330A4"/>
    <w:rsid w:val="07125A75"/>
    <w:rsid w:val="079031E6"/>
    <w:rsid w:val="098D5D95"/>
    <w:rsid w:val="09B47D4E"/>
    <w:rsid w:val="0A177FD7"/>
    <w:rsid w:val="0A2A1B1C"/>
    <w:rsid w:val="0A49052C"/>
    <w:rsid w:val="0AB979F4"/>
    <w:rsid w:val="0ADC5D60"/>
    <w:rsid w:val="0AED793B"/>
    <w:rsid w:val="0C7840E5"/>
    <w:rsid w:val="0C995E6B"/>
    <w:rsid w:val="0D8D119B"/>
    <w:rsid w:val="0DB079BA"/>
    <w:rsid w:val="0EBF6944"/>
    <w:rsid w:val="0F1B6FAF"/>
    <w:rsid w:val="0FB04074"/>
    <w:rsid w:val="10D65A03"/>
    <w:rsid w:val="11281526"/>
    <w:rsid w:val="11B560F3"/>
    <w:rsid w:val="1239194B"/>
    <w:rsid w:val="14524952"/>
    <w:rsid w:val="156E503F"/>
    <w:rsid w:val="159C2C9E"/>
    <w:rsid w:val="15D4492C"/>
    <w:rsid w:val="15DD1203"/>
    <w:rsid w:val="160A45BE"/>
    <w:rsid w:val="16340008"/>
    <w:rsid w:val="170F3530"/>
    <w:rsid w:val="174061E9"/>
    <w:rsid w:val="185111ED"/>
    <w:rsid w:val="18AC7740"/>
    <w:rsid w:val="18AE0422"/>
    <w:rsid w:val="194A7774"/>
    <w:rsid w:val="19E55F51"/>
    <w:rsid w:val="19F17CBA"/>
    <w:rsid w:val="1A47515C"/>
    <w:rsid w:val="1AFA0B43"/>
    <w:rsid w:val="1B263E5F"/>
    <w:rsid w:val="1BD35E06"/>
    <w:rsid w:val="1C2C7D2B"/>
    <w:rsid w:val="1C9B1325"/>
    <w:rsid w:val="1D077A68"/>
    <w:rsid w:val="1D155BA5"/>
    <w:rsid w:val="1DAA75F7"/>
    <w:rsid w:val="1DB52358"/>
    <w:rsid w:val="1E172D5A"/>
    <w:rsid w:val="1E7D47AC"/>
    <w:rsid w:val="1E9E244E"/>
    <w:rsid w:val="1EE57179"/>
    <w:rsid w:val="21BC111A"/>
    <w:rsid w:val="21F856FF"/>
    <w:rsid w:val="22073DD9"/>
    <w:rsid w:val="22A46FE0"/>
    <w:rsid w:val="2410467C"/>
    <w:rsid w:val="24BA3C93"/>
    <w:rsid w:val="24EA79A0"/>
    <w:rsid w:val="25266FFD"/>
    <w:rsid w:val="25777866"/>
    <w:rsid w:val="26FF1CDD"/>
    <w:rsid w:val="27C962D2"/>
    <w:rsid w:val="27E83893"/>
    <w:rsid w:val="28995088"/>
    <w:rsid w:val="2CA119C4"/>
    <w:rsid w:val="2D1A37C4"/>
    <w:rsid w:val="2D1B0D97"/>
    <w:rsid w:val="2D271A99"/>
    <w:rsid w:val="2F0A17C3"/>
    <w:rsid w:val="31FC14C3"/>
    <w:rsid w:val="32BD6051"/>
    <w:rsid w:val="339315F4"/>
    <w:rsid w:val="339B06BF"/>
    <w:rsid w:val="348726C6"/>
    <w:rsid w:val="34B9025B"/>
    <w:rsid w:val="36EB6161"/>
    <w:rsid w:val="38267EC0"/>
    <w:rsid w:val="38B65578"/>
    <w:rsid w:val="39BC037B"/>
    <w:rsid w:val="3A23204B"/>
    <w:rsid w:val="3C4B0653"/>
    <w:rsid w:val="3CE761E1"/>
    <w:rsid w:val="3DC50017"/>
    <w:rsid w:val="3DE75AC6"/>
    <w:rsid w:val="3EF868D4"/>
    <w:rsid w:val="40390E11"/>
    <w:rsid w:val="42DF3EA2"/>
    <w:rsid w:val="42FA1893"/>
    <w:rsid w:val="459A61CC"/>
    <w:rsid w:val="471A7150"/>
    <w:rsid w:val="47537561"/>
    <w:rsid w:val="484B657A"/>
    <w:rsid w:val="48F75F01"/>
    <w:rsid w:val="4A5166BE"/>
    <w:rsid w:val="4A655E77"/>
    <w:rsid w:val="4B083FE1"/>
    <w:rsid w:val="4B845D21"/>
    <w:rsid w:val="4BDB77A7"/>
    <w:rsid w:val="4C97353A"/>
    <w:rsid w:val="4C9E2D6A"/>
    <w:rsid w:val="4CCB2EAE"/>
    <w:rsid w:val="4D8F71C8"/>
    <w:rsid w:val="4D974E67"/>
    <w:rsid w:val="4DFB3B33"/>
    <w:rsid w:val="4E2D19AB"/>
    <w:rsid w:val="4E655892"/>
    <w:rsid w:val="4EFD4093"/>
    <w:rsid w:val="4F0663AF"/>
    <w:rsid w:val="4F867E1C"/>
    <w:rsid w:val="500A557F"/>
    <w:rsid w:val="506F2576"/>
    <w:rsid w:val="516B2DF0"/>
    <w:rsid w:val="51D72661"/>
    <w:rsid w:val="52293F17"/>
    <w:rsid w:val="53333DC9"/>
    <w:rsid w:val="54B46EF4"/>
    <w:rsid w:val="54B73885"/>
    <w:rsid w:val="551447A7"/>
    <w:rsid w:val="553268D5"/>
    <w:rsid w:val="556F66EE"/>
    <w:rsid w:val="55A40A82"/>
    <w:rsid w:val="55B140CB"/>
    <w:rsid w:val="55B2210A"/>
    <w:rsid w:val="574333FD"/>
    <w:rsid w:val="57550195"/>
    <w:rsid w:val="59B4290F"/>
    <w:rsid w:val="5A1679C1"/>
    <w:rsid w:val="5B363DE9"/>
    <w:rsid w:val="5B406830"/>
    <w:rsid w:val="5C514D95"/>
    <w:rsid w:val="5C863C80"/>
    <w:rsid w:val="5CE84E46"/>
    <w:rsid w:val="5D652BDF"/>
    <w:rsid w:val="5D7F69D7"/>
    <w:rsid w:val="5F1A1F45"/>
    <w:rsid w:val="5F6F4160"/>
    <w:rsid w:val="5F804040"/>
    <w:rsid w:val="5FF3401C"/>
    <w:rsid w:val="610667FF"/>
    <w:rsid w:val="618B2A46"/>
    <w:rsid w:val="61987521"/>
    <w:rsid w:val="62217ACB"/>
    <w:rsid w:val="6242686B"/>
    <w:rsid w:val="627A65C4"/>
    <w:rsid w:val="62B73B55"/>
    <w:rsid w:val="62D707E3"/>
    <w:rsid w:val="62DC2AE6"/>
    <w:rsid w:val="62E75B4D"/>
    <w:rsid w:val="633F3E04"/>
    <w:rsid w:val="6535565E"/>
    <w:rsid w:val="65550489"/>
    <w:rsid w:val="676C7172"/>
    <w:rsid w:val="6838700F"/>
    <w:rsid w:val="68407750"/>
    <w:rsid w:val="6AC624CC"/>
    <w:rsid w:val="6B2048A1"/>
    <w:rsid w:val="6BB31E4E"/>
    <w:rsid w:val="6C827188"/>
    <w:rsid w:val="6D694FE7"/>
    <w:rsid w:val="6DDD054A"/>
    <w:rsid w:val="6E823B5D"/>
    <w:rsid w:val="703518FF"/>
    <w:rsid w:val="717F3D19"/>
    <w:rsid w:val="72140995"/>
    <w:rsid w:val="72E92FBE"/>
    <w:rsid w:val="73D81841"/>
    <w:rsid w:val="7414497B"/>
    <w:rsid w:val="742B51CB"/>
    <w:rsid w:val="749D11B2"/>
    <w:rsid w:val="75AA6C3F"/>
    <w:rsid w:val="75F04E94"/>
    <w:rsid w:val="76FD548F"/>
    <w:rsid w:val="774842E4"/>
    <w:rsid w:val="78312CEF"/>
    <w:rsid w:val="78DD1A07"/>
    <w:rsid w:val="79CE7D04"/>
    <w:rsid w:val="7A394144"/>
    <w:rsid w:val="7A3A53D2"/>
    <w:rsid w:val="7C3C1C68"/>
    <w:rsid w:val="7CA66F6F"/>
    <w:rsid w:val="7CCD3F08"/>
    <w:rsid w:val="7CD27EB4"/>
    <w:rsid w:val="7D3768B1"/>
    <w:rsid w:val="7D564FB0"/>
    <w:rsid w:val="7DE336C7"/>
    <w:rsid w:val="7F170A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2017-02-20T13:07:37Z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