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赖床一整天，十几个小时就这样过去了，晚上再来整整</w:t>
      </w:r>
      <w:r>
        <w:rPr>
          <w:rFonts w:hint="eastAsia"/>
          <w:lang w:val="en-US" w:eastAsia="zh-CN"/>
        </w:rPr>
        <w:t xml:space="preserve">PID吧，有一搭没一搭的捣鼓这个温控都好久了，这两天把这个整利索就可以去接手其他东西了。 好吧断电了，没220伏供给电烙铁了。那先好好整理一下思路，明个再调。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基础再来扯一下P.I.D.作用：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①比例调节作用的动作与偏差的大小成正比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②积分调节作用的动作与偏差对时间的积分成正比，即偏差存在积分作用就会有输出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③微分调节作用的动作与偏差的变化速度成正比，即有超前调节的作用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入题先依据控制器输出与执行机构的对应关系，将基本数字PID算法分为位置式PID和增量式PID.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50"/>
          <w:sz w:val="18"/>
          <w:szCs w:val="18"/>
          <w:lang w:val="en-US" w:eastAsia="zh-CN"/>
        </w:rPr>
        <w:t xml:space="preserve">                            </w:t>
      </w:r>
      <w:r>
        <w:rPr>
          <w:rFonts w:hint="eastAsia"/>
          <w:color w:val="00B050"/>
          <w:sz w:val="18"/>
          <w:szCs w:val="18"/>
        </w:rPr>
        <w:t>n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位置式PID：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OUT=</w:t>
      </w:r>
      <w:r>
        <w:rPr>
          <w:rFonts w:hint="eastAsia"/>
          <w:color w:val="FF0000"/>
          <w:sz w:val="18"/>
          <w:szCs w:val="18"/>
        </w:rPr>
        <w:t xml:space="preserve">(Kp*Ek)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+</w:t>
      </w:r>
      <w:r>
        <w:rPr>
          <w:rFonts w:hint="eastAsia"/>
          <w:color w:val="00B050"/>
          <w:sz w:val="18"/>
          <w:szCs w:val="18"/>
        </w:rPr>
        <w:t xml:space="preserve"> (Ki</w:t>
      </w:r>
      <w:r>
        <w:rPr>
          <w:rFonts w:hint="eastAsia" w:ascii="宋体" w:hAnsi="宋体" w:eastAsia="宋体"/>
          <w:color w:val="00B050"/>
          <w:sz w:val="18"/>
          <w:szCs w:val="18"/>
        </w:rPr>
        <w:t>∑Ek</w:t>
      </w:r>
      <w:r>
        <w:rPr>
          <w:rFonts w:hint="eastAsia"/>
          <w:color w:val="00B050"/>
          <w:sz w:val="18"/>
          <w:szCs w:val="18"/>
        </w:rPr>
        <w:t>)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</w:t>
      </w:r>
      <w:r>
        <w:rPr>
          <w:rFonts w:hint="eastAsia"/>
          <w:color w:val="0070C0"/>
          <w:sz w:val="18"/>
          <w:szCs w:val="18"/>
        </w:rPr>
        <w:t xml:space="preserve"> (KD(EK-Ek-1))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+</w:t>
      </w:r>
      <w:r>
        <w:rPr>
          <w:rFonts w:hint="eastAsia"/>
          <w:color w:val="FFC000" w:themeColor="accent4"/>
          <w:sz w:val="18"/>
          <w:szCs w:val="18"/>
          <w14:textFill>
            <w14:solidFill>
              <w14:schemeClr w14:val="accent4"/>
            </w14:solidFill>
          </w14:textFill>
        </w:rPr>
        <w:t>OUT0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B050"/>
          <w:sz w:val="18"/>
          <w:szCs w:val="18"/>
        </w:rPr>
        <w:t>k=0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40005</wp:posOffset>
                </wp:positionV>
                <wp:extent cx="76200" cy="98425"/>
                <wp:effectExtent l="6985" t="13335" r="12065" b="21590"/>
                <wp:wrapNone/>
                <wp:docPr id="7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842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5" type="#_x0000_t5" style="position:absolute;left:0pt;margin-left:61.15pt;margin-top:3.15pt;height:7.75pt;width:6pt;z-index:251680768;mso-width-relative:page;mso-height-relative:page;" fillcolor="#FFFFFF" filled="t" stroked="t" coordsize="21600,21600" o:gfxdata="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05+NLNYAAAAIAQAADwAAAAAAAAABACAAAAAiAAAAZHJzL2Rvd25y&#10;ZXYueG1sUEsBAhQAFAAAAAgAh07iQAFKMLQAAgAAAwQAAA4AAAAAAAAAAQAgAAAAJQEAAGRycy9l&#10;Mm9Eb2MueG1sUEsFBgAAAAAGAAYAWQEAAJcFAAAAAA==&#10;" adj="10800">
                <v:fill on="t" focussize="0,0"/>
                <v:stroke color="#000000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增量式</w:t>
      </w:r>
      <w:r>
        <w:rPr>
          <w:rFonts w:hint="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PID: 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OUT= OUTK- OUTk-1 =</w:t>
      </w:r>
      <w:r>
        <w:rPr>
          <w:rFonts w:hint="eastAsia"/>
          <w:color w:val="FF0000"/>
          <w:sz w:val="18"/>
          <w:szCs w:val="18"/>
        </w:rPr>
        <w:t>kp(EK-EK-1)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+</w:t>
      </w:r>
      <w:r>
        <w:rPr>
          <w:rFonts w:hint="eastAsia"/>
          <w:color w:val="00B050"/>
          <w:sz w:val="18"/>
          <w:szCs w:val="18"/>
        </w:rPr>
        <w:t>Ki</w:t>
      </w:r>
      <w:r>
        <w:rPr>
          <w:rFonts w:hint="eastAsia"/>
          <w:color w:val="00B050"/>
          <w:sz w:val="18"/>
          <w:szCs w:val="18"/>
          <w:lang w:val="en-US" w:eastAsia="zh-CN"/>
        </w:rPr>
        <w:t>*</w:t>
      </w:r>
      <w:r>
        <w:rPr>
          <w:rFonts w:hint="eastAsia"/>
          <w:color w:val="00B050"/>
          <w:sz w:val="18"/>
          <w:szCs w:val="18"/>
        </w:rPr>
        <w:t>Ek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+</w:t>
      </w:r>
      <w:r>
        <w:rPr>
          <w:rFonts w:hint="eastAsia"/>
          <w:color w:val="0070C0"/>
          <w:sz w:val="18"/>
          <w:szCs w:val="18"/>
        </w:rPr>
        <w:t>(KD*(Ek-2Ek-1</w:t>
      </w:r>
      <w:r>
        <w:rPr>
          <w:color w:val="0070C0"/>
          <w:sz w:val="18"/>
          <w:szCs w:val="18"/>
        </w:rPr>
        <w:t>+</w:t>
      </w:r>
      <w:r>
        <w:rPr>
          <w:rFonts w:hint="eastAsia"/>
          <w:color w:val="0070C0"/>
          <w:sz w:val="18"/>
          <w:szCs w:val="18"/>
        </w:rPr>
        <w:t>Ek-2))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Ki= Kp*(T/Ti);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</w:p>
    <w:p>
      <w:pP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KD=(Kp*(TD/T)</w:t>
      </w:r>
      <w:r>
        <w:rPr>
          <w:rFonts w:hint="eastAsia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EK：  本次的偏差；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Ek-1：上次的偏差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</w:p>
    <w:p>
      <w:pPr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Ek-2：上上次的偏差</w:t>
      </w:r>
    </w:p>
    <w:p>
      <w:pPr>
        <w:rPr>
          <w:rFonts w:hint="eastAsia"/>
          <w:color w:val="0070C0"/>
          <w:sz w:val="18"/>
          <w:szCs w:val="18"/>
        </w:rPr>
      </w:pPr>
      <w:r>
        <w:drawing>
          <wp:inline distT="0" distB="0" distL="114300" distR="114300">
            <wp:extent cx="2291715" cy="1411605"/>
            <wp:effectExtent l="0" t="0" r="13335" b="171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Kp：  算法增益调节</w:t>
      </w:r>
    </w:p>
    <w:p>
      <w:pP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:    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采样周期，也叫控制周期，每隔T时间段进行一次PID计算。</w:t>
      </w:r>
    </w:p>
    <w:p>
      <w:pPr>
        <w:rPr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Ti ： 积分时间</w:t>
      </w:r>
    </w:p>
    <w:p>
      <w:pPr>
        <w:rPr>
          <w:color w:val="000000" w:themeColor="text1"/>
          <w:sz w:val="52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  微分时间常数</w:t>
      </w:r>
    </w:p>
    <w:p>
      <w:pPr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两种主要区别是积分项存储方式不同，位置式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pid积分项单独存储，增量式pid积分项作为输出的一部分存储。我这次先用的是位置式。</w:t>
      </w:r>
    </w:p>
    <w:p>
      <w:pPr>
        <w:rPr>
          <w:rFonts w:hint="eastAsia"/>
          <w:color w:val="0070C0"/>
          <w:sz w:val="21"/>
          <w:szCs w:val="21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再看一下PID控制器参数整定方法概括起来两大类：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理论计算整定法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它主要是依据系统的数学模型，经过理论计算确定控制器参数。这种方法所得到的计算数据未必可以直接用，还必须通过工程实际进行调整和修改。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工程整定法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主要依赖工程经验，直接在控制系统的试验中进行，且方法简单.易于掌握。主要有临界比例法、反应曲线法和衰减法。三种共同点都是通过试验，按照工程经验公式对控制器参数进行整定，在实际运行中进行最后调整和完善。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1.临界比例度法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（1）将积分时间设定为无穷大，微分时间设定为零，比例度适当取值</w:t>
      </w:r>
    </w:p>
    <w:p>
      <w:pPr>
        <w:numPr>
          <w:ilvl w:val="0"/>
          <w:numId w:val="0"/>
        </w:numPr>
        <w:ind w:firstLine="420"/>
        <w:rPr>
          <w:rFonts w:hint="eastAsia" w:ascii="宋体" w:hAnsi="宋体" w:cs="宋体"/>
          <w:color w:val="FF0000"/>
          <w:kern w:val="0"/>
          <w:sz w:val="24"/>
          <w:szCs w:val="24"/>
          <w:vertAlign w:val="subscript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（2）仅加入比例控制环节，</w:t>
      </w:r>
      <w:r>
        <w:rPr>
          <w:rFonts w:hint="eastAsia"/>
          <w:lang w:val="en-US" w:eastAsia="zh-CN"/>
        </w:rPr>
        <w:t>直到系统对输入的阶跃响应出现临界振荡（或4:1衰减），记下这时的</w:t>
      </w:r>
      <w:r>
        <w:rPr>
          <w:rFonts w:hint="eastAsia"/>
          <w:color w:val="FF0000"/>
          <w:lang w:val="en-US" w:eastAsia="zh-CN"/>
        </w:rPr>
        <w:t>比例放大系数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δ</w:t>
      </w:r>
      <w:r>
        <w:rPr>
          <w:rFonts w:hint="eastAsia" w:ascii="宋体" w:hAnsi="宋体" w:cs="宋体"/>
          <w:color w:val="FF0000"/>
          <w:kern w:val="0"/>
          <w:sz w:val="24"/>
          <w:szCs w:val="24"/>
          <w:vertAlign w:val="subscript"/>
        </w:rPr>
        <w:t>k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临界振荡周期</w:t>
      </w:r>
      <w:r>
        <w:rPr>
          <w:rFonts w:hint="eastAsia" w:ascii="宋体" w:hAnsi="宋体" w:cs="宋体"/>
          <w:color w:val="FF0000"/>
          <w:kern w:val="0"/>
          <w:sz w:val="24"/>
          <w:szCs w:val="24"/>
        </w:rPr>
        <w:t>T</w:t>
      </w:r>
      <w:r>
        <w:rPr>
          <w:rFonts w:hint="eastAsia" w:ascii="宋体" w:hAnsi="宋体" w:cs="宋体"/>
          <w:color w:val="FF0000"/>
          <w:kern w:val="0"/>
          <w:sz w:val="24"/>
          <w:szCs w:val="24"/>
          <w:vertAlign w:val="subscript"/>
        </w:rPr>
        <w:t>k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（3）公式计算[Kp ，T ，Ti ，Td]</w:t>
      </w:r>
    </w:p>
    <w:p>
      <w:pPr>
        <w:numPr>
          <w:numId w:val="0"/>
        </w:numPr>
        <w:rPr>
          <w:rFonts w:hint="eastAsia" w:ascii="宋体" w:hAnsi="宋体" w:cs="宋体"/>
          <w:color w:val="FF0000"/>
          <w:kern w:val="0"/>
          <w:sz w:val="24"/>
          <w:szCs w:val="24"/>
          <w:vertAlign w:val="subscript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</w:t>
      </w:r>
      <w:r>
        <w:rPr>
          <w:rFonts w:hint="eastAsia" w:ascii="宋体" w:hAnsi="宋体" w:cs="宋体"/>
          <w:color w:val="FF0000"/>
          <w:kern w:val="0"/>
          <w:sz w:val="24"/>
          <w:szCs w:val="24"/>
          <w:vertAlign w:val="subscript"/>
          <w:lang w:val="en-US" w:eastAsia="zh-CN"/>
        </w:rPr>
        <w:t xml:space="preserve">   </w:t>
      </w:r>
      <w:r>
        <w:drawing>
          <wp:inline distT="0" distB="0" distL="114300" distR="114300">
            <wp:extent cx="3735705" cy="2059940"/>
            <wp:effectExtent l="0" t="0" r="1714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718560" cy="1282065"/>
            <wp:effectExtent l="0" t="0" r="152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28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2.衰减曲线法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4:1衰减曲线法整定调节器参数</w:t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747770" cy="2225040"/>
            <wp:effectExtent l="0" t="0" r="508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</w:pPr>
      <w:r>
        <w:drawing>
          <wp:inline distT="0" distB="0" distL="114300" distR="114300">
            <wp:extent cx="3837940" cy="1243965"/>
            <wp:effectExtent l="0" t="0" r="1016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10:1衰减曲线法整定调节器参数</w:t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799205" cy="2201545"/>
            <wp:effectExtent l="0" t="0" r="1079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</w:pPr>
      <w:r>
        <w:drawing>
          <wp:inline distT="0" distB="0" distL="114300" distR="114300">
            <wp:extent cx="3683635" cy="1257935"/>
            <wp:effectExtent l="0" t="0" r="1206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25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经验法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经验数据参照：温度    P=20~60%，I=180~600s，D=3~180s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这口诀大家应该都很常见了吧！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参数整定找最佳，从小到大顺序查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先是比例后积分，最后再把微分加  //比例度越大，比例作用越弱；比例度越小，比例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作用越强                    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曲线振荡很频繁，比例度盘要放大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曲线漂浮绕大弯，比例度盘往小扳                                                                        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曲线偏离回复慢，积分时间往下降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曲线波动周期长，积分时间再加长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曲线振荡频率快，先把微分降下来   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动差大来波动慢，微分时间应加长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理想曲线两个波，前高后低4比1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一看二调多分析，调节质量不会低</w:t>
      </w:r>
    </w:p>
    <w:p>
      <w:pPr>
        <w:numPr>
          <w:ilvl w:val="0"/>
          <w:numId w:val="0"/>
        </w:numP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2" w:beforeAutospacing="0" w:after="300" w:afterAutospacing="0" w:line="240" w:lineRule="auto"/>
        <w:ind w:left="300" w:leftChars="0" w:right="300" w:rightChars="0" w:firstLine="0" w:firstLineChars="0"/>
        <w:jc w:val="left"/>
        <w:textAlignment w:val="auto"/>
        <w:outlineLvl w:val="9"/>
        <w:rPr>
          <w:sz w:val="18"/>
          <w:szCs w:val="18"/>
        </w:rPr>
      </w:pPr>
      <w:r>
        <w:rPr>
          <w:rFonts w:ascii="Arial" w:hAnsi="Arial" w:cs="Arial"/>
          <w:i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一般来说，在整定中，观察到曲线震荡很频繁，需把比例带增大以减少震荡；当曲线最大偏差大且趋于非周期过程时，需把比例带减少</w:t>
      </w:r>
      <w:r>
        <w:rPr>
          <w:rFonts w:hint="default" w:ascii="Arial" w:hAnsi="Arial" w:cs="Arial"/>
          <w:i w:val="0"/>
          <w:color w:val="000000" w:themeColor="text1"/>
          <w:sz w:val="18"/>
          <w:szCs w:val="18"/>
          <w:shd w:val="clear" w:fill="FFFFFF"/>
          <w14:textFill>
            <w14:solidFill>
              <w14:schemeClr w14:val="tx1"/>
            </w14:solidFill>
          </w14:textFill>
        </w:rPr>
        <w:t>（2）当曲线波动较大时，应增大积分时间；曲线偏离给定值后，长时间回不来，则需减小积分时间，以加快消除余差。（3）如果曲线震荡的厉害，需把微分作用减到最小，或暂时不加微分；曲线最大偏差大而衰减慢，需把微分时间加长而加大作用（4）比例带过小，积分时间过小或微分时间过大，都会产生周期性的激烈震荡。积分时间过小，震荡周期较长；比例带过小，震荡周期较短；微分时间过大，震荡周期最短（5）比例带过大或积分时间过长，都会使过渡过程变化缓慢。比例带过大，曲线如不规则的波浪较大的偏离给定值。积分时间过长，曲线会通过非周期的不正常途径，慢慢回复到给定值。</w:t>
      </w:r>
    </w:p>
    <w:p>
      <w:pPr>
        <w:pStyle w:val="2"/>
        <w:keepNext w:val="0"/>
        <w:keepLines w:val="0"/>
        <w:pageBreakBefore w:val="0"/>
        <w:widowControl w:val="0"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602" w:beforeAutospacing="0" w:after="300" w:afterAutospacing="0" w:line="240" w:lineRule="auto"/>
        <w:ind w:left="300" w:leftChars="0" w:right="300" w:rightChars="0"/>
        <w:jc w:val="left"/>
        <w:textAlignment w:val="auto"/>
        <w:outlineLvl w:val="9"/>
        <w:rPr>
          <w:rFonts w:hint="eastAsia" w:ascii="Arial" w:hAnsi="Arial" w:cs="Arial"/>
          <w:i w:val="0"/>
          <w:color w:val="FF000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color w:val="3366FF"/>
          <w:sz w:val="18"/>
          <w:szCs w:val="18"/>
          <w:shd w:val="clear" w:fill="FFFFFF"/>
        </w:rPr>
        <w:t>注意：当积分时间过长或微分时间过大，超出允许的范围时，不管如果改变比例带，都是无法补救的</w:t>
      </w:r>
      <w:r>
        <w:drawing>
          <wp:inline distT="0" distB="0" distL="114300" distR="114300">
            <wp:extent cx="5273675" cy="6129020"/>
            <wp:effectExtent l="0" t="0" r="317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12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调节步骤：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pacing w:before="602" w:beforeAutospacing="0" w:after="300" w:afterAutospacing="0" w:line="390" w:lineRule="atLeast"/>
        <w:ind w:left="300" w:right="300"/>
        <w:jc w:val="left"/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</w:pPr>
      <w:r>
        <w:rPr>
          <w:rFonts w:ascii="Arial" w:hAnsi="Arial" w:cs="Arial"/>
          <w:i w:val="0"/>
          <w:color w:val="333333"/>
          <w:sz w:val="21"/>
          <w:szCs w:val="21"/>
          <w:shd w:val="clear" w:fill="FFFFFF"/>
        </w:rPr>
        <w:t xml:space="preserve">确定比例增益P 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　　确定比例增益P 时，首先去掉PID的积分项和微分项，一般是令Ti=0、Td=0（具体见PID的参数设定说明），使PID为纯比例调节。输入设定为系统允许的最大值的60%~70%，由0逐渐加大比例增益P，直至系统出现振荡；再反过来，从此时的比例增益P逐渐减小，直至系统振荡消失，记录此时的比例增益P，设定PID的比例增益P为当前值的60%~70%。比例增益P调试完成。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b.确定积分时间常数Ti 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>　　比例增益P确定后，设定一个较大的积分时间常数Ti的初值，然后逐渐减小Ti，直至系统出现振荡，之后在反过来，逐渐加大Ti，直至系统振荡消失。记录此时的Ti，设定PID的积分时间常数Ti为当前值的150%~180%。积分时间常数Ti调试完成。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c.确定微分时间常数Td 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　　积分时间常数Td一般不用设定，为0即可。若要设定，与确定 P和Ti的方法相同，取不振荡时的30%。 </w:t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  <w:t xml:space="preserve">d.系统空载、带载联调，再对PID参数进行微调，直至满足要求。 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pacing w:before="602" w:beforeAutospacing="0" w:after="300" w:afterAutospacing="0" w:line="390" w:lineRule="atLeast"/>
        <w:ind w:right="300" w:rightChars="0"/>
        <w:jc w:val="left"/>
        <w:rPr>
          <w:rFonts w:hint="default" w:ascii="Arial" w:hAnsi="Arial" w:cs="Arial"/>
          <w:i w:val="0"/>
          <w:color w:val="333333"/>
          <w:sz w:val="21"/>
          <w:szCs w:val="21"/>
          <w:shd w:val="clear" w:fill="FFFFFF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微软雅黑 黑体 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147DC"/>
    <w:multiLevelType w:val="singleLevel"/>
    <w:tmpl w:val="585147DC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8515A89"/>
    <w:multiLevelType w:val="singleLevel"/>
    <w:tmpl w:val="58515A89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517020"/>
    <w:multiLevelType w:val="singleLevel"/>
    <w:tmpl w:val="58517020"/>
    <w:lvl w:ilvl="0" w:tentative="0">
      <w:start w:val="1"/>
      <w:numFmt w:val="lowerLetter"/>
      <w:suff w:val="nothing"/>
      <w:lvlText w:val="%1."/>
      <w:lvlJc w:val="left"/>
    </w:lvl>
  </w:abstractNum>
  <w:abstractNum w:abstractNumId="3">
    <w:nsid w:val="58517447"/>
    <w:multiLevelType w:val="singleLevel"/>
    <w:tmpl w:val="5851744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667E6"/>
    <w:rsid w:val="062E3A02"/>
    <w:rsid w:val="106E5B5B"/>
    <w:rsid w:val="17F307F7"/>
    <w:rsid w:val="221549E1"/>
    <w:rsid w:val="23505601"/>
    <w:rsid w:val="24EE046B"/>
    <w:rsid w:val="2B860275"/>
    <w:rsid w:val="3D745F93"/>
    <w:rsid w:val="43CF599B"/>
    <w:rsid w:val="477B65DD"/>
    <w:rsid w:val="5317372C"/>
    <w:rsid w:val="540F5599"/>
    <w:rsid w:val="542F02EB"/>
    <w:rsid w:val="564C60D1"/>
    <w:rsid w:val="567E715F"/>
    <w:rsid w:val="58B720A7"/>
    <w:rsid w:val="5D203258"/>
    <w:rsid w:val="61B153CA"/>
    <w:rsid w:val="64A157E9"/>
    <w:rsid w:val="6DEE748A"/>
    <w:rsid w:val="71C332B5"/>
    <w:rsid w:val="73885748"/>
    <w:rsid w:val="769856F4"/>
    <w:rsid w:val="7CDE2E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336699"/>
      <w:u w:val="none"/>
    </w:rPr>
  </w:style>
  <w:style w:type="character" w:styleId="5">
    <w:name w:val="Hyperlink"/>
    <w:basedOn w:val="3"/>
    <w:uiPriority w:val="0"/>
    <w:rPr>
      <w:color w:val="336699"/>
      <w:u w:val="none"/>
    </w:rPr>
  </w:style>
  <w:style w:type="character" w:customStyle="1" w:styleId="7">
    <w:name w:val="bds_nopic"/>
    <w:basedOn w:val="3"/>
    <w:uiPriority w:val="0"/>
  </w:style>
  <w:style w:type="character" w:customStyle="1" w:styleId="8">
    <w:name w:val="bds_nopic1"/>
    <w:basedOn w:val="3"/>
    <w:uiPriority w:val="0"/>
    <w:rPr>
      <w:rFonts w:ascii="宋体 ! important" w:hAnsi="宋体 ! important" w:eastAsia="宋体 ! important" w:cs="宋体 ! important"/>
      <w:color w:val="454545"/>
      <w:sz w:val="21"/>
      <w:szCs w:val="21"/>
      <w:bdr w:val="none" w:color="auto" w:sz="0" w:space="0"/>
    </w:rPr>
  </w:style>
  <w:style w:type="character" w:customStyle="1" w:styleId="9">
    <w:name w:val="bds_nopic2"/>
    <w:basedOn w:val="3"/>
    <w:uiPriority w:val="0"/>
  </w:style>
  <w:style w:type="character" w:customStyle="1" w:styleId="10">
    <w:name w:val="bds_more"/>
    <w:basedOn w:val="3"/>
    <w:uiPriority w:val="0"/>
    <w:rPr>
      <w:bdr w:val="none" w:color="auto" w:sz="0" w:space="0"/>
    </w:rPr>
  </w:style>
  <w:style w:type="character" w:customStyle="1" w:styleId="11">
    <w:name w:val="bds_more1"/>
    <w:basedOn w:val="3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12">
    <w:name w:val="bds_more2"/>
    <w:basedOn w:val="3"/>
    <w:uiPriority w:val="0"/>
    <w:rPr>
      <w:bdr w:val="none" w:color="auto" w:sz="0" w:space="0"/>
    </w:rPr>
  </w:style>
  <w:style w:type="character" w:customStyle="1" w:styleId="13">
    <w:name w:val="bds_more4"/>
    <w:basedOn w:val="3"/>
    <w:uiPriority w:val="0"/>
    <w:rPr>
      <w:bdr w:val="none" w:color="auto" w:sz="0" w:space="0"/>
    </w:rPr>
  </w:style>
  <w:style w:type="character" w:customStyle="1" w:styleId="14">
    <w:name w:val="bds_more5"/>
    <w:basedOn w:val="3"/>
    <w:uiPriority w:val="0"/>
    <w:rPr>
      <w:bdr w:val="none" w:color="auto" w:sz="0" w:space="0"/>
    </w:rPr>
  </w:style>
  <w:style w:type="character" w:customStyle="1" w:styleId="15">
    <w:name w:val="bds_more6"/>
    <w:basedOn w:val="3"/>
    <w:uiPriority w:val="0"/>
    <w:rPr>
      <w:rFonts w:hint="eastAsia" w:ascii="宋体" w:hAnsi="宋体" w:eastAsia="宋体" w:cs="宋体"/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2016-12-14T16:28:26Z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