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6733D">
      <w:pPr>
        <w:spacing w:after="40"/>
        <w:rPr>
          <w:rFonts w:ascii="Aptos" w:hAnsi="Aptos" w:eastAsia="PingFang SC"/>
          <w:b/>
          <w:color w:val="17324D"/>
          <w:sz w:val="44"/>
        </w:rPr>
      </w:pPr>
      <w:r>
        <w:rPr>
          <w:rFonts w:ascii="Aptos" w:hAnsi="Aptos" w:eastAsia="PingFang SC"/>
          <w:b/>
          <w:color w:val="17324D"/>
          <w:sz w:val="44"/>
        </w:rPr>
        <w:t>重案证据搜集操作清单</w:t>
      </w:r>
    </w:p>
    <w:p w14:paraId="4E87936C">
      <w:pPr>
        <w:spacing w:after="40"/>
        <w:rPr>
          <w:rFonts w:ascii="Aptos" w:hAnsi="Aptos" w:eastAsia="PingFang SC"/>
          <w:b/>
          <w:color w:val="17324D"/>
          <w:sz w:val="44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1"/>
      </w:tblGrid>
      <w:tr w14:paraId="19827054">
        <w:trPr>
          <w:jc w:val="center"/>
        </w:trPr>
        <w:tc>
          <w:tcPr>
            <w:tcW w:w="15818" w:type="dxa"/>
            <w:shd w:val="clear" w:color="auto" w:fill="E8F1F5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8C5F443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/>
                <w:color w:val="174C68"/>
                <w:sz w:val="18"/>
              </w:rPr>
              <w:t>填写方式：逐项查看最后一列所列平台或网站。已查看，在□中填“√”；未查看、无法查看或未找到入口，在□中填“×”。每个方框必须填写，不留空。</w:t>
            </w:r>
          </w:p>
        </w:tc>
      </w:tr>
    </w:tbl>
    <w:p w14:paraId="743DA5D9">
      <w:pPr>
        <w:spacing w:after="0"/>
      </w:pPr>
    </w:p>
    <w:p w14:paraId="7391027A">
      <w:pPr>
        <w:spacing w:before="0" w:after="100"/>
      </w:pPr>
      <w:r>
        <w:rPr>
          <w:rFonts w:ascii="Aptos" w:hAnsi="Aptos" w:eastAsia="PingFang SC"/>
          <w:b/>
          <w:color w:val="17324D"/>
          <w:sz w:val="30"/>
        </w:rPr>
        <w:t>客观性：主体、渠道、规模、地域、销量</w:t>
      </w:r>
    </w:p>
    <w:tbl>
      <w:tblPr>
        <w:tblStyle w:val="12"/>
        <w:tblW w:w="0" w:type="auto"/>
        <w:jc w:val="center"/>
        <w:tblBorders>
          <w:top w:val="single" w:color="A8B6BF" w:sz="4" w:space="0"/>
          <w:left w:val="single" w:color="A8B6BF" w:sz="4" w:space="0"/>
          <w:bottom w:val="single" w:color="A8B6BF" w:sz="4" w:space="0"/>
          <w:right w:val="single" w:color="A8B6BF" w:sz="4" w:space="0"/>
          <w:insideH w:val="single" w:color="A8B6BF" w:sz="4" w:space="0"/>
          <w:insideV w:val="single" w:color="A8B6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4"/>
        <w:gridCol w:w="3164"/>
        <w:gridCol w:w="3164"/>
        <w:gridCol w:w="3164"/>
        <w:gridCol w:w="3164"/>
      </w:tblGrid>
      <w:tr w14:paraId="0B119BE3">
        <w:trPr>
          <w:cantSplit/>
          <w:tblHeader/>
          <w:jc w:val="center"/>
        </w:trPr>
        <w:tc>
          <w:tcPr>
            <w:tcW w:w="316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079FEEE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编号 / 优先级</w:t>
            </w:r>
          </w:p>
        </w:tc>
        <w:tc>
          <w:tcPr>
            <w:tcW w:w="316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1DB1AEB">
            <w:pPr>
              <w:spacing w:before="0" w:after="0" w:line="252" w:lineRule="auto"/>
              <w:jc w:val="center"/>
            </w:pPr>
            <w:r>
              <w:rPr>
                <w:rFonts w:hint="eastAsia"/>
                <w:b/>
                <w:color w:val="FFFFFF"/>
                <w:sz w:val="17"/>
                <w:lang w:val="en-US" w:eastAsia="zh-CN"/>
              </w:rPr>
              <w:t>关注</w:t>
            </w:r>
            <w:r>
              <w:rPr>
                <w:rFonts w:ascii="Aptos" w:hAnsi="Aptos" w:eastAsia="PingFang SC"/>
                <w:b/>
                <w:color w:val="FFFFFF"/>
                <w:sz w:val="17"/>
              </w:rPr>
              <w:t>什么</w:t>
            </w:r>
          </w:p>
        </w:tc>
        <w:tc>
          <w:tcPr>
            <w:tcW w:w="316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A3037CF">
            <w:pPr>
              <w:spacing w:before="0" w:after="0" w:line="252" w:lineRule="auto"/>
              <w:jc w:val="center"/>
            </w:pPr>
            <w:r>
              <w:rPr>
                <w:rFonts w:hint="eastAsia"/>
                <w:b/>
                <w:color w:val="FFFFFF"/>
                <w:sz w:val="17"/>
                <w:lang w:val="en-US" w:eastAsia="zh-CN"/>
              </w:rPr>
              <w:t>怎么</w:t>
            </w:r>
            <w:r>
              <w:rPr>
                <w:rFonts w:ascii="Aptos" w:hAnsi="Aptos" w:eastAsia="PingFang SC"/>
                <w:b/>
                <w:color w:val="FFFFFF"/>
                <w:sz w:val="17"/>
              </w:rPr>
              <w:t>做</w:t>
            </w:r>
          </w:p>
        </w:tc>
        <w:tc>
          <w:tcPr>
            <w:tcW w:w="316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453FF3B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去哪找</w:t>
            </w:r>
          </w:p>
        </w:tc>
        <w:tc>
          <w:tcPr>
            <w:tcW w:w="3164" w:type="dxa"/>
            <w:shd w:val="clear" w:color="auto" w:fill="286A8E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BBCCE56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平台/网站核查（□内填√或×）</w:t>
            </w:r>
          </w:p>
        </w:tc>
      </w:tr>
      <w:tr w14:paraId="66153669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82FE497">
            <w:pPr>
              <w:spacing w:before="0" w:after="0" w:line="252" w:lineRule="auto"/>
              <w:jc w:val="center"/>
              <w:rPr>
                <w:rFonts w:hint="eastAsia" w:eastAsia="PingFang SC"/>
                <w:lang w:eastAsia="zh-CN"/>
              </w:rPr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1-1-1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  <w:r>
              <w:rPr>
                <w:rFonts w:hint="eastAsia"/>
                <w:b/>
                <w:color w:val="174C68"/>
                <w:sz w:val="16"/>
                <w:lang w:eastAsia="zh-CN"/>
              </w:rPr>
              <w:t>（</w:t>
            </w:r>
            <w:r>
              <w:rPr>
                <w:rFonts w:hint="eastAsia"/>
                <w:b/>
                <w:color w:val="174C68"/>
                <w:sz w:val="16"/>
                <w:lang w:val="en-US" w:eastAsia="zh-CN"/>
              </w:rPr>
              <w:t>人类来做，AI搞不了</w:t>
            </w:r>
            <w:r>
              <w:rPr>
                <w:rFonts w:hint="eastAsia"/>
                <w:b/>
                <w:color w:val="174C68"/>
                <w:sz w:val="16"/>
                <w:lang w:eastAsia="zh-CN"/>
              </w:rPr>
              <w:t>）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A7C36CB">
            <w:pPr>
              <w:spacing w:before="0" w:after="0" w:line="252" w:lineRule="auto"/>
              <w:jc w:val="left"/>
              <w:rPr>
                <w:rFonts w:hint="eastAsia" w:eastAsia="PingFang SC"/>
                <w:lang w:eastAsia="zh-CN"/>
              </w:rPr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通过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测购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和具体产品，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确定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侵权人身份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1A1C77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1.下单；2.保存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收款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主体；3.保存物流和发货人地址；4.拆包；5.拍包装标签、说明书、实物；6.索取发票。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183AC3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平台订单、支付、物流、包裹和实物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3127A16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下单记录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快递单号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收款信息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发货地址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发货人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产品信息</w:t>
            </w:r>
          </w:p>
        </w:tc>
      </w:tr>
      <w:tr w14:paraId="047B3F18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24E1BF9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1-1-2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0CC5650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通过</w:t>
            </w:r>
            <w:r>
              <w:rPr>
                <w:rFonts w:hint="eastAsia" w:ascii="Aptos" w:hAnsi="Aptos" w:eastAsia="PingFang SC"/>
                <w:b w:val="0"/>
                <w:color w:val="232D34"/>
                <w:sz w:val="16"/>
                <w:lang w:val="en-US" w:eastAsia="zh-CN"/>
              </w:rPr>
              <w:t>侵权人工商登记事项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核查</w:t>
            </w:r>
            <w:r>
              <w:rPr>
                <w:rFonts w:hint="eastAsia" w:ascii="Aptos" w:hAnsi="Aptos" w:eastAsia="PingFang SC"/>
                <w:b w:val="0"/>
                <w:color w:val="232D34"/>
                <w:sz w:val="16"/>
                <w:lang w:val="en-US" w:eastAsia="zh-CN"/>
              </w:rPr>
              <w:t>是否有生产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产品的</w:t>
            </w:r>
            <w:r>
              <w:rPr>
                <w:rFonts w:hint="eastAsia" w:ascii="Aptos" w:hAnsi="Aptos" w:eastAsia="PingFang SC"/>
                <w:b w:val="0"/>
                <w:color w:val="232D34"/>
                <w:sz w:val="16"/>
                <w:lang w:val="en-US" w:eastAsia="zh-CN"/>
              </w:rPr>
              <w:t>能力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FE8859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查主体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的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工商登记与关联主体、法定代表人/经营者、股东、高管、经营范围、注册资本、历史变更、分支机构和关联公司。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A0304B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国家企业信用信息公示系统、市场监管档案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D050E6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国家企业信用信息公示系统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经营主体所在地市场监督管理局官网</w:t>
            </w:r>
          </w:p>
        </w:tc>
      </w:tr>
      <w:tr w14:paraId="0001A2BA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D792592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1-1-3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0F8362A">
            <w:pPr>
              <w:spacing w:before="0" w:after="0" w:line="252" w:lineRule="auto"/>
              <w:jc w:val="left"/>
              <w:rPr>
                <w:rFonts w:hint="eastAsia" w:eastAsia="PingFang SC"/>
                <w:lang w:val="en-US" w:eastAsia="zh-CN"/>
              </w:rPr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通过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展会参展身份和产品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确认销售/生产商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206AC8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查展商名录、展位、展品、现场照片、宣传册、联系人；核对参展主体和被诉产品型号。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89B072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展会官网、主办方名录、现场公证/照片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C1A7D4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展会现场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展会主办方官网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展会主办方微信公众号</w:t>
            </w:r>
          </w:p>
        </w:tc>
      </w:tr>
      <w:tr w14:paraId="4221F206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0B63B89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1-1-4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059E497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通过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官网和自媒体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确认主体是否销售/生产商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4D61BB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搜索官网、公众号、微博、抖音、快手、视频号、小红书、知乎中“研发、生产、厂家、品牌方、招商”等表述。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98D04E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被调查方官网和官方账号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8B63E95">
            <w:pPr>
              <w:spacing w:before="0" w:after="0" w:line="252" w:lineRule="auto"/>
              <w:jc w:val="left"/>
              <w:rPr>
                <w:rFonts w:ascii="Aptos" w:hAnsi="Aptos" w:eastAsia="PingFang SC"/>
                <w:b w:val="0"/>
                <w:color w:val="174C68"/>
                <w:sz w:val="16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微信公众号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微博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抖音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快手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小红书</w:t>
            </w:r>
          </w:p>
          <w:p w14:paraId="58FA8373">
            <w:pPr>
              <w:spacing w:before="0" w:after="0" w:line="252" w:lineRule="auto"/>
              <w:jc w:val="left"/>
              <w:rPr>
                <w:rFonts w:hint="eastAsia" w:ascii="Aptos" w:hAnsi="Aptos" w:eastAsia="PingFang SC"/>
                <w:b w:val="0"/>
                <w:color w:val="174C68"/>
                <w:sz w:val="16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知乎</w:t>
            </w:r>
          </w:p>
        </w:tc>
      </w:tr>
      <w:tr w14:paraId="002447FE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A285BC6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1-1-5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1297892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通过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3C、监管许可和备案登记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确定销售/生产主体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042C07B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按品牌、型号、主体查3C、医疗器械、化妆品、食品、药品、FDA等；提取注册/备案人、制造商、生产地址和型号。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AF45E1A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国家及境外监管机关官方数据库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5BB29B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国家药品监督管理局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全国认证认可信息公共服务平台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全国标准信息公共服务平台</w:t>
            </w:r>
          </w:p>
        </w:tc>
      </w:tr>
      <w:tr w14:paraId="5F1D3F12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C9B301E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1-1-6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713522F">
            <w:pPr>
              <w:spacing w:before="0" w:after="0" w:line="252" w:lineRule="auto"/>
              <w:jc w:val="left"/>
              <w:rPr>
                <w:rFonts w:hint="eastAsia" w:eastAsia="PingFang SC"/>
                <w:lang w:val="en-US" w:eastAsia="zh-CN"/>
              </w:rPr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通过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招投标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记录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中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确定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供应销售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主体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779C67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查供应商、采购人、产品、型号、数量、单价、金额、交付地和履约信息；区分公告、中标与实际交付。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57BEC8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政府采购、公共资源交易、招标人官网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5FA1A57">
            <w:pPr>
              <w:spacing w:before="0" w:after="0" w:line="252" w:lineRule="auto"/>
              <w:jc w:val="left"/>
              <w:rPr>
                <w:rFonts w:ascii="Aptos" w:hAnsi="Aptos" w:eastAsia="PingFang SC"/>
                <w:b w:val="0"/>
                <w:color w:val="174C68"/>
                <w:sz w:val="16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中国政府采购网</w:t>
            </w:r>
          </w:p>
          <w:p w14:paraId="1418D113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企查查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全国公共资源交易平台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项目所在地公共资源交易中心</w:t>
            </w:r>
          </w:p>
        </w:tc>
      </w:tr>
      <w:tr w14:paraId="1A5E88E0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BA94623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1-1-7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0638ACB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通过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专利申请人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印证生产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主体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C7C549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用主体、发明人查专利；比对申请人、发明人、代理人和地址网络。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824C87E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CNIPA、WIPO、Google Patents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349A68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国家知识产权局专利检索及分析系统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WIPO PATENTSCOPE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Google Patents</w:t>
            </w:r>
          </w:p>
        </w:tc>
      </w:tr>
      <w:tr w14:paraId="2E622B1C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9625243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1-1-8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0387694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通过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海关进出口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信息登记确认生产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主体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9F6E06D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查中国出口和外国进口记录中的主体、产品描述、数量、重量、金额、目的国、期间；核对同名主体。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8E62F7F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海关官方公开数据、外国官方进口记录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3D461AA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海关总署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UN Comtrade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目的国海关官网</w:t>
            </w:r>
          </w:p>
        </w:tc>
      </w:tr>
      <w:tr w14:paraId="0416E390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0FB0CFB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1-2-1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7AB28D9">
            <w:pPr>
              <w:spacing w:before="0" w:after="0" w:line="252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核查侵权产品宣传渠道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7C20F1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逐一查抖音、快手、视频号、小红书的账号认证、商品橱窗、直播、价格、销量、门店、地区和时间。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BCBB89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平台公开页和已授权可见页面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B833E14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抖音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快手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微信视频号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小红书</w:t>
            </w:r>
          </w:p>
        </w:tc>
      </w:tr>
      <w:tr w14:paraId="2BA2425D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F17A4F2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1-2-2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37805D1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通过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聚类/本地生活/旅游平台渠道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确认侵权产品销售范围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4FAC7D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查大众点评、美团、携程、艺龙中的门店名、地址、电话、评论、图片和预订/消费信息；用地址电话去重。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AFBD2E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平台公开门店页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067F77B">
            <w:pPr>
              <w:spacing w:before="0" w:after="0" w:line="252" w:lineRule="auto"/>
              <w:jc w:val="left"/>
              <w:rPr>
                <w:rFonts w:ascii="Aptos" w:hAnsi="Aptos" w:eastAsia="PingFang SC"/>
                <w:b w:val="0"/>
                <w:color w:val="174C68"/>
                <w:sz w:val="16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大众点评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美团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携程</w:t>
            </w:r>
          </w:p>
          <w:p w14:paraId="3F10C78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艺龙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同程旅行</w:t>
            </w:r>
          </w:p>
        </w:tc>
      </w:tr>
      <w:tr w14:paraId="09A6F556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AF47300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1-2-3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8529665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通过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招投标渠道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确认侵权产品销售范围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1C570B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按主体、品牌、型号、采购人和地区组合检索，汇总项目而非只保存单条。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AADF01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政府采购和公共资源交易平台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71A78F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中国政府采购网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全国公共资源交易平台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项目所在地公共资源交易中心</w:t>
            </w:r>
          </w:p>
        </w:tc>
      </w:tr>
      <w:tr w14:paraId="163ADEB4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5269DF4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1-2-4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A06AC17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通过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电商平台渠道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确认侵权产品销售范围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CA0987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查主要平台店铺、商品、SKU、价格、销量、评价、主体资质、发货地；跨平台用图片/型号/电话扩线。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E53A13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淘宝、天猫、京东、拼多多、抖音电商、1688等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095827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淘宝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天猫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京东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拼多多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1688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抖音电商</w:t>
            </w:r>
          </w:p>
        </w:tc>
      </w:tr>
      <w:tr w14:paraId="669ECB6E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E98613B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1-2-5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34CE0D5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共享、租赁、加盟和连锁商业模式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下锁定被告门店数量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4DF8FA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查招商加盟、门店清单、共享点位、租赁网点、收费模式、加盟合同/资质和管理规则。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04FD494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官网、自媒体、特许经营备案、合同、门店平台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3AE3634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微信小程序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品牌官网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微信公众号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大众点评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美团</w:t>
            </w:r>
          </w:p>
        </w:tc>
      </w:tr>
      <w:tr w14:paraId="18D32151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6F040C6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1-3-1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02C340F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环评报告中的投资、产线和设计产能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2DEB97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按主体、项目名、地址查环评公示；提取投资、面积、设备、产线、班次和设计产能；核对建设/验收状态。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B9367F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生态环境部门和项目环评公示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AA7789F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生态环境部官网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项目所在地生态环境局官网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项目所在地政府信息公开平台</w:t>
            </w:r>
          </w:p>
        </w:tc>
      </w:tr>
      <w:tr w14:paraId="78A3999A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722D0BD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1-3-2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74387F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招投标项目数量和金额汇总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028CCEE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建立项目级台账，记录公告、中标、合同、验收、数量和金额，按项目号去重并标期间。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6AF0D8A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官方采购/交易平台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F10F9C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中国政府采购网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全国公共资源交易平台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项目所在地公共资源交易中心</w:t>
            </w:r>
          </w:p>
        </w:tc>
      </w:tr>
      <w:tr w14:paraId="26826F39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4C321D5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1-3-3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DD50094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政府批文和新闻中的投资产值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C404F3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查项目备案、重点项目、政府招商、投产报道；提取主体、地址、投资、预计/实际产值和时间。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EDA93C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发改、工信、政府官网和官方媒体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DCF6BBE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国家发展改革委官网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工业和信息化部官网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项目所在地政府官网</w:t>
            </w:r>
          </w:p>
        </w:tc>
      </w:tr>
      <w:tr w14:paraId="148C8E93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ED766F7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1-3-4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957E25A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行业报告中的市场份额和产销量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C5058C4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查报告发布者、样本、口径、期间和引用来源；取得完整合法副本；与官方/公司披露交叉验证。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87E2CF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行业协会、研究机构、券商、论文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331336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中国知网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万方数据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国家哲学社会科学文献中心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相关行业协会官网</w:t>
            </w:r>
          </w:p>
        </w:tc>
      </w:tr>
      <w:tr w14:paraId="1AC6948D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75DB564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1-3-5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874914D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招股书、年报和母子公司披露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65C0F2B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查业务分部、产品、渠道、门店、产能、收入、销量、地区和关联公司；只提取与涉案业务对应数据。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4B8AED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交易所、证监机关、公司公告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6FC532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巨潮资讯网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上海证券交易所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深圳证券交易所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北京证券交易所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香港交易所披露易</w:t>
            </w:r>
          </w:p>
        </w:tc>
      </w:tr>
      <w:tr w14:paraId="258B1A79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41DF708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1-3-6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84443D4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注册资本及经营基础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93E32DB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查最新和历史注册资本、实缴线索、分支机构、人员、场地和融资；与经营规模其他证据结合。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902507F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企业公示系统、年报、交易所、政府公示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9F0430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国家企业信用信息公示系统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巨潮资讯网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交易所公告平台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项目所在地政府官网</w:t>
            </w:r>
          </w:p>
        </w:tc>
      </w:tr>
      <w:tr w14:paraId="3027CE6A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CB48D5D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1-4-1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F29899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国内销售和发货区域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3CDFED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汇总销售商注册地、门店地址、订单收货/发货地、招投标交付地和宣传覆盖地区；按省市去重。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E714FB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工商、平台门店、订单物流、招投标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846CDB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国家企业信用信息公示系统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百度地图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高德地图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大众点评</w:t>
            </w:r>
          </w:p>
        </w:tc>
      </w:tr>
      <w:tr w14:paraId="41B2C730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2935315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1-4-2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60034F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海外出口和进口范围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6B95A8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查出口主体、目的国、外国进口商、数量金额和期间；核对产品描述与被诉对象。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6616B4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中国海关、外国官方进口记录、公司披露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308718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海关总署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UN Comtrade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目的国海关官网</w:t>
            </w:r>
          </w:p>
        </w:tc>
      </w:tr>
      <w:tr w14:paraId="7CC60781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736641C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1-5-1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F14A36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中标数量与金额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3DCCF23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提取中标/合同/验收中的数量、单价、金额和交付；按项目去重并区分状态。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E8BBA2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政府采购和交易平台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616A10D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国家药品监督管理局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国家市场监督管理总局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全国认证认可信息公共服务平台（认e云）</w:t>
            </w:r>
          </w:p>
        </w:tc>
      </w:tr>
      <w:tr w14:paraId="4ABB756B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08F83DB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1-5-2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DF8311B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年报中的销量和收入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32A715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提取产品/分部销量、价格、收入和期间；核对单位与合并口径；对无法分拆的集团数据单列。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FD9493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交易所年报、公司公告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B0BD93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巨潮资讯网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上海证券交易所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深圳证券交易所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香港交易所披露易</w:t>
            </w:r>
          </w:p>
        </w:tc>
      </w:tr>
      <w:tr w14:paraId="297CB2C4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9D81B21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1-5-3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461194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第三方行业销量数据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083022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核对机构、样本、方法、期间和是否含退货/刷单；与官方/公司披露交叉验证。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A90116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行业协会、研究机构、平台报告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1E7F87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证券公司研究报告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万方数据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相关行业协会官网</w:t>
            </w:r>
          </w:p>
        </w:tc>
      </w:tr>
      <w:tr w14:paraId="3176B59B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870A34C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1-5-4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BCEC28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被告宣传的销量产能自认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C1E91B3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固定“销量第一、年销、出货、门店数、产能”等原话、账号认证、时间和上下文；查是否夸大宣传。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E37EF3F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官网、官方账号、招商材料、采访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E3655A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被调查方官网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微信公众号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微博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抖音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快手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小红书</w:t>
            </w:r>
          </w:p>
        </w:tc>
      </w:tr>
      <w:tr w14:paraId="4BBF8CC6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C210011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1-5-5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A3126C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线上多店销量汇总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CFD36B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逐SKU逐店记录显示销量、价格、期间、抓取时间；去重同店同款；排除刷单、退货和重复渠道；给出保守/中位/上限场景。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9EE581D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各电商和社交电商平台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48A377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淘宝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天猫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京东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拼多多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1688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抖音电商</w:t>
            </w:r>
          </w:p>
        </w:tc>
      </w:tr>
    </w:tbl>
    <w:p w14:paraId="77F18E56">
      <w:r>
        <w:br w:type="page"/>
      </w:r>
    </w:p>
    <w:p w14:paraId="34770668">
      <w:pPr>
        <w:spacing w:before="0" w:after="100"/>
      </w:pPr>
      <w:r>
        <w:rPr>
          <w:rFonts w:ascii="Aptos" w:hAnsi="Aptos" w:eastAsia="PingFang SC"/>
          <w:b/>
          <w:color w:val="17324D"/>
          <w:sz w:val="30"/>
        </w:rPr>
        <w:t>关联性：利润率、贡献率、知名度</w:t>
      </w:r>
    </w:p>
    <w:tbl>
      <w:tblPr>
        <w:tblStyle w:val="12"/>
        <w:tblW w:w="0" w:type="auto"/>
        <w:jc w:val="center"/>
        <w:tblBorders>
          <w:top w:val="single" w:color="A8B6BF" w:sz="4" w:space="0"/>
          <w:left w:val="single" w:color="A8B6BF" w:sz="4" w:space="0"/>
          <w:bottom w:val="single" w:color="A8B6BF" w:sz="4" w:space="0"/>
          <w:right w:val="single" w:color="A8B6BF" w:sz="4" w:space="0"/>
          <w:insideH w:val="single" w:color="A8B6BF" w:sz="4" w:space="0"/>
          <w:insideV w:val="single" w:color="A8B6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4"/>
        <w:gridCol w:w="3164"/>
        <w:gridCol w:w="3164"/>
        <w:gridCol w:w="3164"/>
        <w:gridCol w:w="3164"/>
      </w:tblGrid>
      <w:tr w14:paraId="15B7CDAD">
        <w:trPr>
          <w:cantSplit/>
          <w:tblHeader/>
          <w:jc w:val="center"/>
        </w:trPr>
        <w:tc>
          <w:tcPr>
            <w:tcW w:w="316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119A9AF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编号 / 优先级</w:t>
            </w:r>
          </w:p>
        </w:tc>
        <w:tc>
          <w:tcPr>
            <w:tcW w:w="316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B52539C">
            <w:pPr>
              <w:spacing w:before="0" w:after="0" w:line="252" w:lineRule="auto"/>
              <w:jc w:val="center"/>
              <w:rPr>
                <w:rFonts w:hint="eastAsia" w:eastAsia="PingFang SC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关注什么</w:t>
            </w:r>
          </w:p>
        </w:tc>
        <w:tc>
          <w:tcPr>
            <w:tcW w:w="316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AF4F996">
            <w:pPr>
              <w:spacing w:before="0" w:after="0" w:line="252" w:lineRule="auto"/>
              <w:jc w:val="center"/>
              <w:rPr>
                <w:rFonts w:hint="eastAsia" w:eastAsia="PingFang SC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怎么做</w:t>
            </w:r>
          </w:p>
        </w:tc>
        <w:tc>
          <w:tcPr>
            <w:tcW w:w="316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D4E1879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去哪找</w:t>
            </w:r>
          </w:p>
        </w:tc>
        <w:tc>
          <w:tcPr>
            <w:tcW w:w="3164" w:type="dxa"/>
            <w:shd w:val="clear" w:color="auto" w:fill="286A8E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38F34E0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平台/网站核查（□内填√或×）</w:t>
            </w:r>
          </w:p>
        </w:tc>
      </w:tr>
      <w:tr w14:paraId="52E0299D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E3886D5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2-1-1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77D5FD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被告自身毛利率和净利率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A21D11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优先查被告年报/招股书，提取涉案业务分部毛利率、净利率、期间和异常项。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37CAE4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交易所、公司公告、财务原件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4D590A4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国家统计局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巨潮资讯网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上海证券交易所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深圳证券交易所</w:t>
            </w:r>
          </w:p>
        </w:tc>
      </w:tr>
      <w:tr w14:paraId="7EC5EDED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58B5B0B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2-1-2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C75D91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同类企业或行业合理利润率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FD6AA9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在无被告数据时依次查同类龙头、原告、行业/券商报告；选择可比业务并列差异。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F306B1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交易所、行业协会、券商研报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EC2F82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中国知网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万方数据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国家哲学社会科学文献中心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相关行业协会官网</w:t>
            </w:r>
          </w:p>
        </w:tc>
      </w:tr>
      <w:tr w14:paraId="2F5136A5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B60B2DB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2-2-1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A56DA7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权利或技术获得奖项和行业认可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B53B35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查颁奖主体、奖项规则、获奖对象和时间；确认奖项针对涉案权利/技术而非整个公司。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DFC4CD3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主办方官网、证书原件、行业组织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94F534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国家市场监督管理总局官网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奖项主办方官网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相关行业协会官网</w:t>
            </w:r>
          </w:p>
        </w:tc>
      </w:tr>
      <w:tr w14:paraId="021CC5F8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2A4271A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2-2-2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A5A4572">
            <w:pPr>
              <w:spacing w:before="0" w:after="0" w:line="252" w:lineRule="auto"/>
              <w:jc w:val="left"/>
              <w:rPr>
                <w:rFonts w:hint="eastAsia" w:eastAsia="PingFang SC"/>
                <w:lang w:eastAsia="zh-CN"/>
              </w:rPr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技术许可或授权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费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63AB63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收集许可合同、费率、付款、被许可产品、地域、期限和是否关联交易；选择可比许可。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583295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合同原件、发票/付款、公开许可备案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96861C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国家知识产权局商标网上服务系统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国家知识产权局专利检索及分析系统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中国版权保护中心</w:t>
            </w:r>
          </w:p>
        </w:tc>
      </w:tr>
      <w:tr w14:paraId="4729A527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3C921C2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2-2-3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661D76E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专家意见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1AFB78E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先明确问题和材料范围，再选独立专家；披露资历、方法、假设和费用；保留底稿。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E867E64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专家、专业机构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D200AC0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人工找机构</w:t>
            </w:r>
          </w:p>
        </w:tc>
      </w:tr>
      <w:tr w14:paraId="37C91784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C227BDA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2-2-4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514C45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调查问卷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1FE6C1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明确总体、抽样、问卷、实施、质控和统计；避免诱导问题；保留原始数据并由专家解释。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F9D0AD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独立调查机构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7DC2B5B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问卷星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腾讯问卷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问卷调查公司</w:t>
            </w:r>
          </w:p>
        </w:tc>
      </w:tr>
      <w:tr w14:paraId="6249050F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E9DB114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2-2-5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A8E9D4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消费者混淆或关注点评论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2B9714E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搜完整评论线程、时间、账号、对象和上下文；去重机器人/搬运；区分真实混淆、调侃和关键词命中。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C6F3C1F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抖音、小红书、微博、大众点评、视频号等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59509B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抖音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小红书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微博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大众点评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微信视频号</w:t>
            </w:r>
          </w:p>
        </w:tc>
      </w:tr>
      <w:tr w14:paraId="52734AC6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5055307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2-2-6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P3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AD008DC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多模型AI辅助评价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是否相似、混淆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A17F6B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固定相同中立提示词、输入图、模型名/版本/日期和完整输出；至少使用多个独立模型；仅提取一致观察。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B6F341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多个AI系统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929723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元宝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千问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DeepSeek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豆包</w:t>
            </w:r>
          </w:p>
        </w:tc>
      </w:tr>
      <w:tr w14:paraId="1730CBEE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1949FDC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2-2-7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C891F9D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论文和行业研究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中商标、技术、装潢的贡献率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663E23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检索涉案技术/设计的作用、消费者选择因素和市场影响；核对同行评议、样本、利益冲突和适用边界。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13F4B4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学术数据库、行业组织、研究机构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C2A74E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中国知网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万方数据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国家哲学社会科学文献中心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相关行业协会官网</w:t>
            </w:r>
          </w:p>
        </w:tc>
      </w:tr>
      <w:tr w14:paraId="373C4398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80B8420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2-2-8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257D3A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横向与纵向对比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B30B11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横向选同类不使用涉案权利的产品；纵向比较采用前后销量/价格/转化；控制时间、渠道、促销等变量。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AB1449F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企业经营数据、平台历史、行业可比产品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EA1D87A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人工选择比对对象</w:t>
            </w:r>
          </w:p>
        </w:tc>
      </w:tr>
      <w:tr w14:paraId="1887AD6C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AADB309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2-3-1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E32763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广告投入和明星代言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C8C2BB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收集广告/代言合同、排期、投放证明、发票、付款和专项审计；分离涉案品牌/权利的投入。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2D35C6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权利人原件、媒体平台、审计机构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2F49B9B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新闻报道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腾讯广告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广告、代言合同</w:t>
            </w:r>
          </w:p>
        </w:tc>
      </w:tr>
      <w:tr w14:paraId="6E2E42C9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3786532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2-3-2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48B82E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消费者评价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B818D6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按目的筛选商标识别、设计关注、技术效果等评价；保留负面和中性样本；说明抽样。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E5575BD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电商、社交、本地生活平台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1756A4B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淘宝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天猫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京东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抖音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小红书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大众点评</w:t>
            </w:r>
          </w:p>
        </w:tc>
      </w:tr>
      <w:tr w14:paraId="5F4399AD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B464B5E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2-3-3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392370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新闻报道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1D0E8A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查首发媒体、时间、作者、内容和转载链；区分付费软文和独立报道；按时间地域整理。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FFF150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主流媒体、行业媒体、政府媒体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7FC0B9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人民网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新华网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央视网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相关行业媒体官网</w:t>
            </w:r>
          </w:p>
        </w:tc>
      </w:tr>
      <w:tr w14:paraId="6139CCDE">
        <w:trPr>
          <w:cantSplit/>
          <w:jc w:val="center"/>
        </w:trPr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1743E73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2-3-4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914456F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原告销量和门店/用户覆盖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192456A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收集审计、订单、发票、渠道报表、门店清单和税务/财务支持；按涉案品牌和期间拆分。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FEB6E1E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权利人原件、审计、平台后台、公开年报</w:t>
            </w:r>
          </w:p>
        </w:tc>
        <w:tc>
          <w:tcPr>
            <w:tcW w:w="3164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805C8B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巨潮资讯网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上海证券交易所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深圳证券交易所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国家企业信用信息公示系统</w:t>
            </w:r>
          </w:p>
        </w:tc>
      </w:tr>
      <w:tr w14:paraId="2D60B901">
        <w:trPr>
          <w:cantSplit/>
          <w:jc w:val="center"/>
        </w:trPr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43B081C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2-3-5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BC52D7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行业排名和评奖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F6469A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核对发布机构、评价范围、指标、样本、年份和获评主体；保存规则与完整榜单。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5F3CB3E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行业协会、权威机构、主办方官网</w:t>
            </w:r>
          </w:p>
        </w:tc>
        <w:tc>
          <w:tcPr>
            <w:tcW w:w="3164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7B07CB3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国家市场监督管理总局官网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榜单主办方官网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相关行业协会官网</w:t>
            </w:r>
          </w:p>
        </w:tc>
      </w:tr>
    </w:tbl>
    <w:p w14:paraId="498D6272">
      <w:r>
        <w:br w:type="page"/>
      </w:r>
    </w:p>
    <w:p w14:paraId="62F21C15">
      <w:pPr>
        <w:spacing w:before="0" w:after="100"/>
      </w:pPr>
      <w:r>
        <w:rPr>
          <w:rFonts w:ascii="Aptos" w:hAnsi="Aptos" w:eastAsia="PingFang SC"/>
          <w:b/>
          <w:color w:val="17324D"/>
          <w:sz w:val="30"/>
        </w:rPr>
        <w:t>合理性：故意、明知、重复侵权</w:t>
      </w:r>
    </w:p>
    <w:tbl>
      <w:tblPr>
        <w:tblStyle w:val="12"/>
        <w:tblW w:w="0" w:type="auto"/>
        <w:jc w:val="center"/>
        <w:tblBorders>
          <w:top w:val="single" w:color="A8B6BF" w:sz="4" w:space="0"/>
          <w:left w:val="single" w:color="A8B6BF" w:sz="4" w:space="0"/>
          <w:bottom w:val="single" w:color="A8B6BF" w:sz="4" w:space="0"/>
          <w:right w:val="single" w:color="A8B6BF" w:sz="4" w:space="0"/>
          <w:insideH w:val="single" w:color="A8B6BF" w:sz="4" w:space="0"/>
          <w:insideV w:val="single" w:color="A8B6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4"/>
        <w:gridCol w:w="3164"/>
        <w:gridCol w:w="3164"/>
        <w:gridCol w:w="3164"/>
        <w:gridCol w:w="3164"/>
      </w:tblGrid>
      <w:tr w14:paraId="22BDEE60">
        <w:trPr>
          <w:cantSplit/>
          <w:tblHeader/>
          <w:jc w:val="center"/>
        </w:trPr>
        <w:tc>
          <w:tcPr>
            <w:tcW w:w="935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EDF4B74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编号 / 优先级</w:t>
            </w:r>
          </w:p>
        </w:tc>
        <w:tc>
          <w:tcPr>
            <w:tcW w:w="3033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47AC21A">
            <w:pPr>
              <w:spacing w:before="0" w:after="0" w:line="252" w:lineRule="auto"/>
              <w:jc w:val="center"/>
              <w:rPr>
                <w:rFonts w:hint="eastAsia" w:eastAsia="PingFang SC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关注什么</w:t>
            </w:r>
          </w:p>
        </w:tc>
        <w:tc>
          <w:tcPr>
            <w:tcW w:w="4819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0292020">
            <w:pPr>
              <w:spacing w:before="0" w:after="0" w:line="252" w:lineRule="auto"/>
              <w:jc w:val="center"/>
              <w:rPr>
                <w:rFonts w:hint="eastAsia" w:eastAsia="PingFang SC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怎么做</w:t>
            </w:r>
          </w:p>
        </w:tc>
        <w:tc>
          <w:tcPr>
            <w:tcW w:w="29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A5DDA0C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去哪找</w:t>
            </w:r>
          </w:p>
        </w:tc>
        <w:tc>
          <w:tcPr>
            <w:tcW w:w="3742" w:type="dxa"/>
            <w:shd w:val="clear" w:color="auto" w:fill="286A8E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681EE59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平台/网站核查（□内填√或×）</w:t>
            </w:r>
          </w:p>
        </w:tc>
      </w:tr>
      <w:tr w14:paraId="4945D7F8">
        <w:trPr>
          <w:cantSplit/>
          <w:jc w:val="center"/>
        </w:trPr>
        <w:tc>
          <w:tcPr>
            <w:tcW w:w="9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0EEE583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3-1-1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03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6E0F430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权利人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产品或包装专利标识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是否鲜明</w:t>
            </w:r>
          </w:p>
        </w:tc>
        <w:tc>
          <w:tcPr>
            <w:tcW w:w="4819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B25082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固定原告商品/包装上的专利号、标识位置、使用时间和市场覆盖；核对专利号有效。</w:t>
            </w:r>
          </w:p>
        </w:tc>
        <w:tc>
          <w:tcPr>
            <w:tcW w:w="2920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6B2A34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原告实物、包装、官网、专利数据库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413923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国家知识产权局专利检索及分析系统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权利人官网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天猫旗舰店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京东旗舰店</w:t>
            </w:r>
          </w:p>
        </w:tc>
      </w:tr>
      <w:tr w14:paraId="408A57E6">
        <w:trPr>
          <w:cantSplit/>
          <w:jc w:val="center"/>
        </w:trPr>
        <w:tc>
          <w:tcPr>
            <w:tcW w:w="935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270ABD7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3-1-2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033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DD923B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权利类型对可识别性的影响</w:t>
            </w:r>
          </w:p>
        </w:tc>
        <w:tc>
          <w:tcPr>
            <w:tcW w:w="4819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91F8B6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分别分析商标、商业秘密、专利、著作权、装潢等权利是否容易识别；列客观可见标识和技术隐蔽性。</w:t>
            </w:r>
          </w:p>
        </w:tc>
        <w:tc>
          <w:tcPr>
            <w:tcW w:w="2920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64BB02D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权利材料、产品、行业规则</w:t>
            </w:r>
          </w:p>
        </w:tc>
        <w:tc>
          <w:tcPr>
            <w:tcW w:w="374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2C3ECFF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国家知识产权局商标网上服务系统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国家知识产权局专利检索及分析系统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中国版权保护中心</w:t>
            </w:r>
          </w:p>
        </w:tc>
      </w:tr>
      <w:tr w14:paraId="4589E9E0">
        <w:trPr>
          <w:cantSplit/>
          <w:jc w:val="center"/>
        </w:trPr>
        <w:tc>
          <w:tcPr>
            <w:tcW w:w="9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74EBD08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3-1-3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03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5B3981A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权利基础知名度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越高恶意越强</w:t>
            </w:r>
          </w:p>
        </w:tc>
        <w:tc>
          <w:tcPr>
            <w:tcW w:w="4819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CA2EDF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把知名度证据与被告经营地域、行业、期间和接触机会对应；专利案件也可调查技术知名度。</w:t>
            </w:r>
          </w:p>
        </w:tc>
        <w:tc>
          <w:tcPr>
            <w:tcW w:w="2920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DE72CC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第二维知名度材料、被告履历和渠道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75E6E1D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国家企业信用信息公示系统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国家知识产权局专利检索及分析系统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BOSS直聘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猎聘</w:t>
            </w:r>
          </w:p>
        </w:tc>
      </w:tr>
      <w:tr w14:paraId="28ABE1E2">
        <w:trPr>
          <w:cantSplit/>
          <w:jc w:val="center"/>
        </w:trPr>
        <w:tc>
          <w:tcPr>
            <w:tcW w:w="935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DFB9C2E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3-1-4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033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874D69A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被告是否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同时侵犯多项权益</w:t>
            </w:r>
          </w:p>
        </w:tc>
        <w:tc>
          <w:tcPr>
            <w:tcW w:w="4819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30F265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逐项固定商标、专利、著作权、装潢、宣传页面等对象和行为；避免重复评价同一行为。</w:t>
            </w:r>
          </w:p>
        </w:tc>
        <w:tc>
          <w:tcPr>
            <w:tcW w:w="2920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BC3DCA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权利材料、被诉页面/实物、对比表</w:t>
            </w:r>
          </w:p>
        </w:tc>
        <w:tc>
          <w:tcPr>
            <w:tcW w:w="374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D9E1DFA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国家知识产权局商标网上服务系统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国家知识产权局专利检索及分析系统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中国版权保护中心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疑似侵权商品所在平台</w:t>
            </w:r>
          </w:p>
        </w:tc>
      </w:tr>
      <w:tr w14:paraId="3B502071">
        <w:trPr>
          <w:cantSplit/>
          <w:jc w:val="center"/>
        </w:trPr>
        <w:tc>
          <w:tcPr>
            <w:tcW w:w="9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AAEF7DC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3-1-5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</w:p>
        </w:tc>
        <w:tc>
          <w:tcPr>
            <w:tcW w:w="303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890713F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被告是否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惯犯、历史侵权或以侵权为业</w:t>
            </w:r>
          </w:p>
        </w:tc>
        <w:tc>
          <w:tcPr>
            <w:tcW w:w="4819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71253E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查历史裁判、行政处罚、平台处罚、投诉和解、同类商品矩阵；核对主体、控制人、权利和时间。</w:t>
            </w:r>
          </w:p>
        </w:tc>
        <w:tc>
          <w:tcPr>
            <w:tcW w:w="2920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9900F1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法院、监管机关、平台、公开网页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9F7977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人民法院案例库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中国裁判文书网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信用中国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市场监管部门行政处罚公示平台</w:t>
            </w:r>
          </w:p>
        </w:tc>
      </w:tr>
      <w:tr w14:paraId="43B9CB74">
        <w:trPr>
          <w:cantSplit/>
          <w:jc w:val="center"/>
        </w:trPr>
        <w:tc>
          <w:tcPr>
            <w:tcW w:w="935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2C24F18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3-1-6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033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DDB72C2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被告是否存在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商标囤积或仿冒申请</w:t>
            </w:r>
          </w:p>
        </w:tc>
        <w:tc>
          <w:tcPr>
            <w:tcW w:w="4819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E47E08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查被告及关联人商标申请量、类别、他人知名标识、驳回/异议/无效；按申请人和代理人聚类。</w:t>
            </w:r>
          </w:p>
        </w:tc>
        <w:tc>
          <w:tcPr>
            <w:tcW w:w="2920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4314D8B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商标局/WIPO官方数据库</w:t>
            </w:r>
          </w:p>
        </w:tc>
        <w:tc>
          <w:tcPr>
            <w:tcW w:w="374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DF54FF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国家知识产权局商标网上服务系统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WIPO Global Brand Database</w:t>
            </w:r>
          </w:p>
        </w:tc>
      </w:tr>
      <w:tr w14:paraId="7FA61B63">
        <w:trPr>
          <w:cantSplit/>
          <w:jc w:val="center"/>
        </w:trPr>
        <w:tc>
          <w:tcPr>
            <w:tcW w:w="9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D11A65E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3-2-1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</w:p>
        </w:tc>
        <w:tc>
          <w:tcPr>
            <w:tcW w:w="303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9844B75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原被告之间是否存在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代理、经销或合作关系</w:t>
            </w:r>
          </w:p>
        </w:tc>
        <w:tc>
          <w:tcPr>
            <w:tcW w:w="4819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563977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查历史代理/经销/供应/加盟合同、订单、会议和往来，确认被告接触权利或产品的时间。</w:t>
            </w:r>
          </w:p>
        </w:tc>
        <w:tc>
          <w:tcPr>
            <w:tcW w:w="2920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BC3315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合同、邮件、订单、会议纪要、公开合作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E7C3604">
            <w:pPr>
              <w:spacing w:before="0" w:after="0" w:line="252" w:lineRule="auto"/>
              <w:jc w:val="left"/>
              <w:rPr>
                <w:rFonts w:hint="eastAsia"/>
                <w:b w:val="0"/>
                <w:color w:val="174C68"/>
                <w:sz w:val="16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新闻</w:t>
            </w:r>
          </w:p>
          <w:p w14:paraId="0C2AEFF8">
            <w:pPr>
              <w:spacing w:before="0" w:after="0" w:line="252" w:lineRule="auto"/>
              <w:jc w:val="left"/>
              <w:rPr>
                <w:rFonts w:hint="default"/>
                <w:b w:val="0"/>
                <w:color w:val="174C68"/>
                <w:sz w:val="16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权利人提供合同</w:t>
            </w:r>
          </w:p>
        </w:tc>
      </w:tr>
      <w:tr w14:paraId="07F511B7">
        <w:trPr>
          <w:cantSplit/>
          <w:jc w:val="center"/>
        </w:trPr>
        <w:tc>
          <w:tcPr>
            <w:tcW w:w="935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310C451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3-2-2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</w:p>
        </w:tc>
        <w:tc>
          <w:tcPr>
            <w:tcW w:w="3033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6AD1A20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被告是否与原告存在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劳动或任职关系</w:t>
            </w:r>
          </w:p>
        </w:tc>
        <w:tc>
          <w:tcPr>
            <w:tcW w:w="4819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3FD404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查被告/控制人是否曾在权利人或关联方任职，核对岗位、期间、保密/IP制度和接触范围。</w:t>
            </w:r>
          </w:p>
        </w:tc>
        <w:tc>
          <w:tcPr>
            <w:tcW w:w="2920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5279B6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劳动合同、社保、履历、招聘、公开报道</w:t>
            </w:r>
          </w:p>
        </w:tc>
        <w:tc>
          <w:tcPr>
            <w:tcW w:w="374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39300C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权利人提供合同</w:t>
            </w:r>
          </w:p>
        </w:tc>
      </w:tr>
      <w:tr w14:paraId="69999D34">
        <w:trPr>
          <w:cantSplit/>
          <w:jc w:val="center"/>
        </w:trPr>
        <w:tc>
          <w:tcPr>
            <w:tcW w:w="9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4E57A8A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3-2-3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</w:p>
        </w:tc>
        <w:tc>
          <w:tcPr>
            <w:tcW w:w="303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D2B3635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原被告之间是否存在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既往诉讼或和解</w:t>
            </w:r>
          </w:p>
        </w:tc>
        <w:tc>
          <w:tcPr>
            <w:tcW w:w="4819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2DFE9B3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查双方及关联主体既往案件、送达、庭审、判决和和解履行；固定知悉时间。</w:t>
            </w:r>
          </w:p>
        </w:tc>
        <w:tc>
          <w:tcPr>
            <w:tcW w:w="2920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88F395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法院官方、裁判文书、案件原件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EBF51F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人民法院案例库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中国裁判文书网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中国审判流程信息公开网</w:t>
            </w:r>
          </w:p>
        </w:tc>
      </w:tr>
      <w:tr w14:paraId="6123816C">
        <w:trPr>
          <w:cantSplit/>
          <w:jc w:val="center"/>
        </w:trPr>
        <w:tc>
          <w:tcPr>
            <w:tcW w:w="935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5417325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3-2-4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</w:p>
        </w:tc>
        <w:tc>
          <w:tcPr>
            <w:tcW w:w="3033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56854A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行政查处</w:t>
            </w:r>
          </w:p>
        </w:tc>
        <w:tc>
          <w:tcPr>
            <w:tcW w:w="4819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B15EB1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查监管处罚、扣押、责令改正、听证和复议；核对处罚对象、产品、权利和生效状态。</w:t>
            </w:r>
          </w:p>
        </w:tc>
        <w:tc>
          <w:tcPr>
            <w:tcW w:w="2920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115ECD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市场监管、海关、版权等官方机关</w:t>
            </w:r>
          </w:p>
        </w:tc>
        <w:tc>
          <w:tcPr>
            <w:tcW w:w="374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156154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信用中国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国家市场监督管理总局官网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经营主体所在地市场监督管理局官网</w:t>
            </w:r>
          </w:p>
        </w:tc>
      </w:tr>
      <w:tr w14:paraId="571F7CE4">
        <w:trPr>
          <w:cantSplit/>
          <w:jc w:val="center"/>
        </w:trPr>
        <w:tc>
          <w:tcPr>
            <w:tcW w:w="9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B68958F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3-2-5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P0</w:t>
            </w:r>
          </w:p>
        </w:tc>
        <w:tc>
          <w:tcPr>
            <w:tcW w:w="303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E223D74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权利人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是否之前有过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通知或警告</w:t>
            </w:r>
          </w:p>
        </w:tc>
        <w:tc>
          <w:tcPr>
            <w:tcW w:w="4819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17C767D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保存警告内容、权利附件、发送方式、送达、平台投诉、被告回复和警告后行为。</w:t>
            </w:r>
          </w:p>
        </w:tc>
        <w:tc>
          <w:tcPr>
            <w:tcW w:w="2920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C08587D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邮件、快递、平台投诉、律师函、公证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EEC12E9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起诉前通知或警告信</w:t>
            </w:r>
          </w:p>
        </w:tc>
      </w:tr>
      <w:tr w14:paraId="459FF620">
        <w:trPr>
          <w:cantSplit/>
          <w:jc w:val="center"/>
        </w:trPr>
        <w:tc>
          <w:tcPr>
            <w:tcW w:w="935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AFF9F3F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3-2-6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033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D11A7E2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被告是否存在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多个仿冒商标申请</w:t>
            </w:r>
          </w:p>
        </w:tc>
        <w:tc>
          <w:tcPr>
            <w:tcW w:w="4819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488EA2D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以被告、股东、高管、关联公司和代理人检索仿冒申请；与权利人标识和申请时间对照。</w:t>
            </w:r>
          </w:p>
        </w:tc>
        <w:tc>
          <w:tcPr>
            <w:tcW w:w="2920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2572A3B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商标局/WIPO官方数据库</w:t>
            </w:r>
          </w:p>
        </w:tc>
        <w:tc>
          <w:tcPr>
            <w:tcW w:w="374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3B28BD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国家知识产权局商标网上服务系统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WIPO Global Brand Database</w:t>
            </w:r>
          </w:p>
        </w:tc>
      </w:tr>
    </w:tbl>
    <w:p w14:paraId="09FEF7D0">
      <w:r>
        <w:br w:type="page"/>
      </w:r>
    </w:p>
    <w:p w14:paraId="787D8A4D">
      <w:pPr>
        <w:spacing w:before="0" w:after="100"/>
      </w:pPr>
      <w:r>
        <w:rPr>
          <w:rFonts w:ascii="Aptos" w:hAnsi="Aptos" w:eastAsia="PingFang SC"/>
          <w:b/>
          <w:color w:val="17324D"/>
          <w:sz w:val="30"/>
        </w:rPr>
        <w:t>参照性：关联案件与维权费用</w:t>
      </w:r>
    </w:p>
    <w:tbl>
      <w:tblPr>
        <w:tblStyle w:val="12"/>
        <w:tblW w:w="0" w:type="auto"/>
        <w:jc w:val="center"/>
        <w:tblBorders>
          <w:top w:val="single" w:color="A8B6BF" w:sz="4" w:space="0"/>
          <w:left w:val="single" w:color="A8B6BF" w:sz="4" w:space="0"/>
          <w:bottom w:val="single" w:color="A8B6BF" w:sz="4" w:space="0"/>
          <w:right w:val="single" w:color="A8B6BF" w:sz="4" w:space="0"/>
          <w:insideH w:val="single" w:color="A8B6BF" w:sz="4" w:space="0"/>
          <w:insideV w:val="single" w:color="A8B6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4"/>
        <w:gridCol w:w="3164"/>
        <w:gridCol w:w="3164"/>
        <w:gridCol w:w="3164"/>
        <w:gridCol w:w="3164"/>
      </w:tblGrid>
      <w:tr w14:paraId="7DFE6CA8">
        <w:trPr>
          <w:cantSplit/>
          <w:tblHeader/>
          <w:jc w:val="center"/>
        </w:trPr>
        <w:tc>
          <w:tcPr>
            <w:tcW w:w="935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D350D9C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编号 / 优先级</w:t>
            </w:r>
          </w:p>
        </w:tc>
        <w:tc>
          <w:tcPr>
            <w:tcW w:w="3033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51B1DD7">
            <w:pPr>
              <w:spacing w:before="0" w:after="0" w:line="252" w:lineRule="auto"/>
              <w:jc w:val="center"/>
              <w:rPr>
                <w:rFonts w:hint="eastAsia" w:eastAsia="PingFang SC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关注什么</w:t>
            </w:r>
          </w:p>
        </w:tc>
        <w:tc>
          <w:tcPr>
            <w:tcW w:w="4819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2EFC0AF">
            <w:pPr>
              <w:spacing w:before="0" w:after="0" w:line="252" w:lineRule="auto"/>
              <w:jc w:val="center"/>
              <w:rPr>
                <w:rFonts w:hint="eastAsia" w:eastAsia="PingFang SC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怎么做</w:t>
            </w:r>
          </w:p>
        </w:tc>
        <w:tc>
          <w:tcPr>
            <w:tcW w:w="29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38677B7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去哪找</w:t>
            </w:r>
          </w:p>
        </w:tc>
        <w:tc>
          <w:tcPr>
            <w:tcW w:w="3742" w:type="dxa"/>
            <w:shd w:val="clear" w:color="auto" w:fill="286A8E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E7DC380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平台/网站核查（□内填√或×）</w:t>
            </w:r>
          </w:p>
        </w:tc>
      </w:tr>
      <w:tr w14:paraId="5D7B75E1">
        <w:trPr>
          <w:cantSplit/>
          <w:jc w:val="center"/>
        </w:trPr>
        <w:tc>
          <w:tcPr>
            <w:tcW w:w="9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77F8E94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4-1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03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D504ABF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同一权利关联案件整体获赔</w:t>
            </w:r>
          </w:p>
        </w:tc>
        <w:tc>
          <w:tcPr>
            <w:tcW w:w="4819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831D4E3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查同一权利、相似行为、相似规模的生效裁判；提取请求额、判赔额、计算方法、证据基础和差异。</w:t>
            </w:r>
          </w:p>
        </w:tc>
        <w:tc>
          <w:tcPr>
            <w:tcW w:w="2920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1535AB3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法院官方、裁判文书、案件原件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C80B4B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人民法院案例库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中国裁判文书网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中国审判流程信息公开网</w:t>
            </w:r>
          </w:p>
        </w:tc>
      </w:tr>
      <w:tr w14:paraId="7C55F53B">
        <w:trPr>
          <w:cantSplit/>
          <w:jc w:val="center"/>
        </w:trPr>
        <w:tc>
          <w:tcPr>
            <w:tcW w:w="935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25B7858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4-2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P1</w:t>
            </w:r>
          </w:p>
        </w:tc>
        <w:tc>
          <w:tcPr>
            <w:tcW w:w="3033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882BCAA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合理维权费用和律师费</w:t>
            </w:r>
          </w:p>
        </w:tc>
        <w:tc>
          <w:tcPr>
            <w:tcW w:w="4819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727FDF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收集律师、公证、测购、差旅、翻译、专家、调查等合同、发票、付款和必要性；按本案分摊。</w:t>
            </w:r>
          </w:p>
        </w:tc>
        <w:tc>
          <w:tcPr>
            <w:tcW w:w="2920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0B53682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原告原件、服务机构、支付凭证</w:t>
            </w:r>
          </w:p>
        </w:tc>
        <w:tc>
          <w:tcPr>
            <w:tcW w:w="374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9A9B783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人民法院案例库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中国裁判文书网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当地律师协会官网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当地公证协会官网</w:t>
            </w:r>
          </w:p>
        </w:tc>
      </w:tr>
    </w:tbl>
    <w:p w14:paraId="54652589">
      <w:r>
        <w:br w:type="page"/>
      </w:r>
    </w:p>
    <w:p w14:paraId="2CAAD1DC">
      <w:pPr>
        <w:spacing w:before="0" w:after="100"/>
      </w:pPr>
      <w:r>
        <w:rPr>
          <w:rFonts w:ascii="Aptos" w:hAnsi="Aptos" w:eastAsia="PingFang SC"/>
          <w:b/>
          <w:color w:val="17324D"/>
          <w:sz w:val="30"/>
        </w:rPr>
        <w:t>特殊性：地区、经营与偿付能力</w:t>
      </w:r>
    </w:p>
    <w:tbl>
      <w:tblPr>
        <w:tblStyle w:val="12"/>
        <w:tblW w:w="0" w:type="auto"/>
        <w:jc w:val="center"/>
        <w:tblBorders>
          <w:top w:val="single" w:color="A8B6BF" w:sz="4" w:space="0"/>
          <w:left w:val="single" w:color="A8B6BF" w:sz="4" w:space="0"/>
          <w:bottom w:val="single" w:color="A8B6BF" w:sz="4" w:space="0"/>
          <w:right w:val="single" w:color="A8B6BF" w:sz="4" w:space="0"/>
          <w:insideH w:val="single" w:color="A8B6BF" w:sz="4" w:space="0"/>
          <w:insideV w:val="single" w:color="A8B6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4"/>
        <w:gridCol w:w="3164"/>
        <w:gridCol w:w="3164"/>
        <w:gridCol w:w="3164"/>
        <w:gridCol w:w="3164"/>
      </w:tblGrid>
      <w:tr w14:paraId="34752EBB">
        <w:trPr>
          <w:cantSplit/>
          <w:tblHeader/>
          <w:jc w:val="center"/>
        </w:trPr>
        <w:tc>
          <w:tcPr>
            <w:tcW w:w="935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C32E543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编号 / 优先级</w:t>
            </w:r>
          </w:p>
        </w:tc>
        <w:tc>
          <w:tcPr>
            <w:tcW w:w="3033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8098618">
            <w:pPr>
              <w:spacing w:before="0" w:after="0" w:line="252" w:lineRule="auto"/>
              <w:jc w:val="center"/>
              <w:rPr>
                <w:rFonts w:hint="eastAsia" w:eastAsia="PingFang SC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关注什么</w:t>
            </w:r>
          </w:p>
        </w:tc>
        <w:tc>
          <w:tcPr>
            <w:tcW w:w="4819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D9B4389">
            <w:pPr>
              <w:spacing w:before="0" w:after="0" w:line="252" w:lineRule="auto"/>
              <w:jc w:val="center"/>
              <w:rPr>
                <w:rFonts w:hint="eastAsia" w:eastAsia="PingFang SC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怎么做</w:t>
            </w:r>
          </w:p>
        </w:tc>
        <w:tc>
          <w:tcPr>
            <w:tcW w:w="29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15CB84A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去哪找</w:t>
            </w:r>
          </w:p>
        </w:tc>
        <w:tc>
          <w:tcPr>
            <w:tcW w:w="3742" w:type="dxa"/>
            <w:shd w:val="clear" w:color="auto" w:fill="286A8E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9673F5F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平台/网站核查（□内填√或×）</w:t>
            </w:r>
          </w:p>
        </w:tc>
      </w:tr>
      <w:tr w14:paraId="0FF79E73">
        <w:trPr>
          <w:cantSplit/>
          <w:jc w:val="center"/>
        </w:trPr>
        <w:tc>
          <w:tcPr>
            <w:tcW w:w="9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7717E15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5-1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P3</w:t>
            </w:r>
          </w:p>
        </w:tc>
        <w:tc>
          <w:tcPr>
            <w:tcW w:w="303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136E32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侵权地区经济发展状况</w:t>
            </w:r>
          </w:p>
        </w:tc>
        <w:tc>
          <w:tcPr>
            <w:tcW w:w="4819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8D618FB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查行为地/被告地官方统计中的人均收入、零售、产业和市场规模；说明与案情的具体关系。</w:t>
            </w:r>
          </w:p>
        </w:tc>
        <w:tc>
          <w:tcPr>
            <w:tcW w:w="2920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68F12F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国家/地方统计局、政府公报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231EB4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国家统计局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案件所在地统计局官网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案件所在地政府公报平台</w:t>
            </w:r>
          </w:p>
        </w:tc>
      </w:tr>
      <w:tr w14:paraId="24C2C9CE">
        <w:trPr>
          <w:cantSplit/>
          <w:jc w:val="center"/>
        </w:trPr>
        <w:tc>
          <w:tcPr>
            <w:tcW w:w="935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0D2303D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5-2-1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P3</w:t>
            </w:r>
          </w:p>
        </w:tc>
        <w:tc>
          <w:tcPr>
            <w:tcW w:w="3033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6D07347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被告是否存在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残疾情况等法定/酌定减轻线索</w:t>
            </w:r>
          </w:p>
        </w:tc>
        <w:tc>
          <w:tcPr>
            <w:tcW w:w="4819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DA43105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仅在被告主动提出或有合法必要时由律师核验，不主动大范围搜集；确认与责任承担的关系。</w:t>
            </w:r>
          </w:p>
        </w:tc>
        <w:tc>
          <w:tcPr>
            <w:tcW w:w="2920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391843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当事人提交、依法调取的证明</w:t>
            </w:r>
          </w:p>
        </w:tc>
        <w:tc>
          <w:tcPr>
            <w:tcW w:w="374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66B4B6B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人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工核查</w:t>
            </w:r>
          </w:p>
        </w:tc>
      </w:tr>
      <w:tr w14:paraId="61867F4B">
        <w:trPr>
          <w:cantSplit/>
          <w:jc w:val="center"/>
        </w:trPr>
        <w:tc>
          <w:tcPr>
            <w:tcW w:w="9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40DF015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5-2-2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P3</w:t>
            </w:r>
          </w:p>
        </w:tc>
        <w:tc>
          <w:tcPr>
            <w:tcW w:w="303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64922480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被告是否因为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年龄及经营者个人状况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而被减轻</w:t>
            </w:r>
          </w:p>
        </w:tc>
        <w:tc>
          <w:tcPr>
            <w:tcW w:w="4819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D3A2B5A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仅核对法律责任确需的年龄与经营身份，不收集无关家庭信息；由律师判断是否具有关联。</w:t>
            </w:r>
          </w:p>
        </w:tc>
        <w:tc>
          <w:tcPr>
            <w:tcW w:w="2920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B8A0990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官方登记、当事人依法提交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4EB88D4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人工核查</w:t>
            </w:r>
          </w:p>
        </w:tc>
      </w:tr>
      <w:tr w14:paraId="551AD013">
        <w:trPr>
          <w:cantSplit/>
          <w:jc w:val="center"/>
        </w:trPr>
        <w:tc>
          <w:tcPr>
            <w:tcW w:w="935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49DD72F3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5-2-3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P3</w:t>
            </w:r>
          </w:p>
        </w:tc>
        <w:tc>
          <w:tcPr>
            <w:tcW w:w="3033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036A6E7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被告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精神状态</w:t>
            </w:r>
          </w:p>
        </w:tc>
        <w:tc>
          <w:tcPr>
            <w:tcW w:w="4819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E7813C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不得从网络言论推断。只有法定程序中的专业材料或当事人提出时，由律师依法处理。</w:t>
            </w:r>
          </w:p>
        </w:tc>
        <w:tc>
          <w:tcPr>
            <w:tcW w:w="2920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D45AC78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司法/医疗程序中的合法材料</w:t>
            </w:r>
          </w:p>
        </w:tc>
        <w:tc>
          <w:tcPr>
            <w:tcW w:w="374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19840FD">
            <w:pPr>
              <w:spacing w:before="0" w:after="0" w:line="252" w:lineRule="auto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 xml:space="preserve">□ </w:t>
            </w:r>
            <w:r>
              <w:rPr>
                <w:rFonts w:hint="eastAsia"/>
                <w:b w:val="0"/>
                <w:color w:val="174C68"/>
                <w:sz w:val="16"/>
                <w:lang w:val="en-US" w:eastAsia="zh-CN"/>
              </w:rPr>
              <w:t>人工核查</w:t>
            </w:r>
          </w:p>
        </w:tc>
      </w:tr>
      <w:tr w14:paraId="7D5EF527">
        <w:trPr>
          <w:cantSplit/>
          <w:jc w:val="center"/>
        </w:trPr>
        <w:tc>
          <w:tcPr>
            <w:tcW w:w="935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6D3CCA0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5-3-1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033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4138DC0">
            <w:pPr>
              <w:spacing w:before="0" w:after="0" w:line="252" w:lineRule="auto"/>
              <w:jc w:val="left"/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被告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名下公司、财产和偿付能力线索</w:t>
            </w:r>
          </w:p>
        </w:tc>
        <w:tc>
          <w:tcPr>
            <w:tcW w:w="4819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27682F7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查关联公司、股权、上市持股、公开不动产/动产担保、知识产权、融资和执行线索；区分主体资产。</w:t>
            </w:r>
          </w:p>
        </w:tc>
        <w:tc>
          <w:tcPr>
            <w:tcW w:w="2920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356E9809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企业公示、交易所、法院执行、官方登记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7E4B8426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国家企业信用信息公示系统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中国执行信息公开网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动产融资统一登记公示系统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巨潮资讯网</w:t>
            </w:r>
          </w:p>
        </w:tc>
      </w:tr>
      <w:tr w14:paraId="2057E61B">
        <w:trPr>
          <w:cantSplit/>
          <w:jc w:val="center"/>
        </w:trPr>
        <w:tc>
          <w:tcPr>
            <w:tcW w:w="935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50EBBBF0">
            <w:pPr>
              <w:spacing w:before="0" w:after="0" w:line="252" w:lineRule="auto"/>
              <w:jc w:val="center"/>
            </w:pPr>
            <w:r>
              <w:rPr>
                <w:rFonts w:ascii="Aptos" w:hAnsi="Aptos" w:eastAsia="PingFang SC"/>
                <w:b/>
                <w:color w:val="174C68"/>
                <w:sz w:val="16"/>
              </w:rPr>
              <w:t>5-3-2</w:t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/>
                <w:color w:val="174C68"/>
                <w:sz w:val="16"/>
              </w:rPr>
              <w:t>P2</w:t>
            </w:r>
          </w:p>
        </w:tc>
        <w:tc>
          <w:tcPr>
            <w:tcW w:w="3033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F93DEBA">
            <w:pPr>
              <w:spacing w:before="0" w:after="0" w:line="252" w:lineRule="auto"/>
              <w:jc w:val="left"/>
              <w:rPr>
                <w:rFonts w:hint="eastAsia" w:eastAsia="PingFang SC"/>
                <w:lang w:val="en-US" w:eastAsia="zh-CN"/>
              </w:rPr>
            </w:pP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被告是否被列为</w:t>
            </w: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失信和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被</w:t>
            </w:r>
            <w:bookmarkStart w:id="0" w:name="_GoBack"/>
            <w:bookmarkEnd w:id="0"/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执行</w:t>
            </w:r>
            <w:r>
              <w:rPr>
                <w:rFonts w:hint="eastAsia"/>
                <w:b w:val="0"/>
                <w:color w:val="232D34"/>
                <w:sz w:val="16"/>
                <w:lang w:val="en-US" w:eastAsia="zh-CN"/>
              </w:rPr>
              <w:t>人</w:t>
            </w:r>
          </w:p>
        </w:tc>
        <w:tc>
          <w:tcPr>
            <w:tcW w:w="4819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1692A62D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查被执行人、失信、限制消费和终本信息；用统一代码/身份证核对，避免同名误配；记录状态日期。</w:t>
            </w:r>
          </w:p>
        </w:tc>
        <w:tc>
          <w:tcPr>
            <w:tcW w:w="2920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0CEFE2A1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232D34"/>
                <w:sz w:val="16"/>
              </w:rPr>
              <w:t>· 最高人民法院执行信息公开平台等官方来源</w:t>
            </w:r>
          </w:p>
        </w:tc>
        <w:tc>
          <w:tcPr>
            <w:tcW w:w="374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 w14:paraId="28E96B5C">
            <w:pPr>
              <w:spacing w:before="0" w:after="0" w:line="252" w:lineRule="auto"/>
              <w:jc w:val="left"/>
            </w:pP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中国执行信息公开网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信用中国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全国企业破产重整案件信息网</w:t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br w:type="textWrapping"/>
            </w:r>
            <w:r>
              <w:rPr>
                <w:rFonts w:ascii="Aptos" w:hAnsi="Aptos" w:eastAsia="PingFang SC"/>
                <w:b w:val="0"/>
                <w:color w:val="174C68"/>
                <w:sz w:val="16"/>
              </w:rPr>
              <w:t>□ 国家企业信用信息公示系统</w:t>
            </w:r>
          </w:p>
        </w:tc>
      </w:tr>
    </w:tbl>
    <w:p w14:paraId="158E5B17"/>
    <w:sectPr>
      <w:headerReference r:id="rId5" w:type="default"/>
      <w:footerReference r:id="rId6" w:type="default"/>
      <w:pgSz w:w="16838" w:h="11906" w:orient="landscape"/>
      <w:pgMar w:top="482" w:right="510" w:bottom="482" w:left="510" w:header="198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9AEBE">
    <w:pPr>
      <w:pStyle w:val="18"/>
      <w:jc w:val="right"/>
    </w:pPr>
    <w:r>
      <w:rPr>
        <w:rFonts w:ascii="Aptos" w:hAnsi="Aptos" w:eastAsia="PingFang SC"/>
        <w:b w:val="0"/>
        <w:color w:val="5F6C74"/>
        <w:sz w:val="16"/>
      </w:rPr>
      <w:t xml:space="preserve">第 </w:t>
    </w:r>
    <w:r>
      <w:rPr>
        <w:rFonts w:ascii="Aptos" w:hAnsi="Aptos" w:eastAsia="PingFang SC"/>
        <w:b w:val="0"/>
        <w:color w:val="5F6C74"/>
        <w:sz w:val="16"/>
      </w:rPr>
      <w:fldChar w:fldCharType="begin"/>
    </w:r>
    <w:r>
      <w:rPr>
        <w:rFonts w:ascii="Aptos" w:hAnsi="Aptos" w:eastAsia="PingFang SC"/>
        <w:b w:val="0"/>
        <w:color w:val="5F6C74"/>
        <w:sz w:val="16"/>
      </w:rPr>
      <w:instrText xml:space="preserve"> PAGE </w:instrText>
    </w:r>
    <w:r>
      <w:rPr>
        <w:rFonts w:ascii="Aptos" w:hAnsi="Aptos" w:eastAsia="PingFang SC"/>
        <w:b w:val="0"/>
        <w:color w:val="5F6C74"/>
        <w:sz w:val="16"/>
      </w:rPr>
      <w:fldChar w:fldCharType="separate"/>
    </w:r>
    <w:r>
      <w:rPr>
        <w:rFonts w:ascii="Aptos" w:hAnsi="Aptos" w:eastAsia="PingFang SC"/>
        <w:b w:val="0"/>
        <w:color w:val="5F6C74"/>
        <w:sz w:val="16"/>
      </w:rPr>
      <w:t>1</w:t>
    </w:r>
    <w:r>
      <w:rPr>
        <w:rFonts w:ascii="Aptos" w:hAnsi="Aptos" w:eastAsia="PingFang SC"/>
        <w:b w:val="0"/>
        <w:color w:val="5F6C74"/>
        <w:sz w:val="16"/>
      </w:rPr>
      <w:fldChar w:fldCharType="end"/>
    </w:r>
    <w:r>
      <w:rPr>
        <w:rFonts w:ascii="Aptos" w:hAnsi="Aptos" w:eastAsia="PingFang SC"/>
        <w:b w:val="0"/>
        <w:color w:val="5F6C74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0F303">
    <w:pPr>
      <w:pStyle w:val="19"/>
      <w:jc w:val="right"/>
    </w:pPr>
    <w:r>
      <w:rPr>
        <w:rFonts w:ascii="Aptos" w:hAnsi="Aptos" w:eastAsia="PingFang SC"/>
        <w:b/>
        <w:color w:val="486170"/>
        <w:sz w:val="16"/>
      </w:rPr>
      <w:t>重案证据搜集操作清单｜五维简化版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FED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PingFang SC" w:cstheme="minorBidi"/>
      <w:color w:val="232D34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重案证据挖掘工具</dc:creator>
  <dc:description>generated by python-docx</dc:description>
  <cp:lastModifiedBy>xiexiaoxiong</cp:lastModifiedBy>
  <dcterms:modified xsi:type="dcterms:W3CDTF">2026-07-15T04:32:25Z</dcterms:modified>
  <dc:subject>仅含客观性、关联性、合理性、参照性、特殊性及平台网站核查框</dc:subject>
  <dc:title>重案证据搜集操作清单（五维简化版）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1033-12.1.26026.26026</vt:lpwstr>
  </property>
  <property fmtid="{D5CDD505-2E9C-101B-9397-08002B2CF9AE}" pid="3" name="ICV">
    <vt:lpwstr>D4922B5013B8E93BC96F576AEC67925F_42</vt:lpwstr>
  </property>
</Properties>
</file>