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3BC" w:rsidRPr="004B53BC" w:rsidRDefault="004B53BC">
      <w:pPr>
        <w:rPr>
          <w:rFonts w:ascii="Times New Roman" w:hAnsi="Times New Roman" w:cs="Times New Roman"/>
          <w:sz w:val="24"/>
          <w:szCs w:val="24"/>
        </w:rPr>
      </w:pPr>
      <w:r>
        <w:rPr>
          <w:rFonts w:ascii="Times New Roman" w:hAnsi="Times New Roman" w:cs="Times New Roman"/>
          <w:b/>
          <w:sz w:val="24"/>
          <w:szCs w:val="24"/>
        </w:rPr>
        <w:t>Alpha2011-</w:t>
      </w:r>
      <w:r>
        <w:rPr>
          <w:rFonts w:ascii="Times New Roman" w:hAnsi="Times New Roman" w:cs="Times New Roman"/>
          <w:sz w:val="24"/>
          <w:szCs w:val="24"/>
        </w:rPr>
        <w:t>Merge</w:t>
      </w:r>
    </w:p>
    <w:p w:rsidR="004B53BC" w:rsidRPr="004B53BC" w:rsidRDefault="004B53BC">
      <w:pPr>
        <w:rPr>
          <w:rFonts w:ascii="Times New Roman" w:hAnsi="Times New Roman" w:cs="Times New Roman"/>
          <w:sz w:val="24"/>
          <w:szCs w:val="24"/>
        </w:rPr>
      </w:pPr>
      <w:r>
        <w:rPr>
          <w:rFonts w:ascii="Times New Roman" w:hAnsi="Times New Roman" w:cs="Times New Roman"/>
          <w:b/>
          <w:sz w:val="24"/>
          <w:szCs w:val="24"/>
        </w:rPr>
        <w:t>Beta-</w:t>
      </w:r>
      <w:r>
        <w:rPr>
          <w:rFonts w:ascii="Times New Roman" w:hAnsi="Times New Roman" w:cs="Times New Roman"/>
          <w:sz w:val="24"/>
          <w:szCs w:val="24"/>
        </w:rPr>
        <w:t>Selection</w:t>
      </w:r>
    </w:p>
    <w:p w:rsidR="004B53BC" w:rsidRPr="004B53BC" w:rsidRDefault="004B53BC">
      <w:pPr>
        <w:rPr>
          <w:rFonts w:ascii="Times New Roman" w:hAnsi="Times New Roman" w:cs="Times New Roman"/>
          <w:sz w:val="24"/>
          <w:szCs w:val="24"/>
        </w:rPr>
      </w:pPr>
      <w:r>
        <w:rPr>
          <w:rFonts w:ascii="Times New Roman" w:hAnsi="Times New Roman" w:cs="Times New Roman"/>
          <w:b/>
          <w:sz w:val="24"/>
          <w:szCs w:val="24"/>
        </w:rPr>
        <w:t>Gamma</w:t>
      </w:r>
      <w:r>
        <w:rPr>
          <w:rFonts w:ascii="Times New Roman" w:hAnsi="Times New Roman" w:cs="Times New Roman"/>
          <w:sz w:val="24"/>
          <w:szCs w:val="24"/>
        </w:rPr>
        <w:t>-Bubble</w:t>
      </w:r>
    </w:p>
    <w:p w:rsidR="004B53BC" w:rsidRPr="004B53BC" w:rsidRDefault="004B53BC">
      <w:pPr>
        <w:rPr>
          <w:rFonts w:ascii="Times New Roman" w:hAnsi="Times New Roman" w:cs="Times New Roman"/>
          <w:sz w:val="24"/>
          <w:szCs w:val="24"/>
        </w:rPr>
      </w:pPr>
      <w:r>
        <w:rPr>
          <w:rFonts w:ascii="Times New Roman" w:hAnsi="Times New Roman" w:cs="Times New Roman"/>
          <w:b/>
          <w:sz w:val="24"/>
          <w:szCs w:val="24"/>
        </w:rPr>
        <w:t>Delta</w:t>
      </w:r>
      <w:r>
        <w:rPr>
          <w:rFonts w:ascii="Times New Roman" w:hAnsi="Times New Roman" w:cs="Times New Roman"/>
          <w:sz w:val="24"/>
          <w:szCs w:val="24"/>
        </w:rPr>
        <w:t>-Quick</w:t>
      </w:r>
    </w:p>
    <w:p w:rsidR="004B53BC" w:rsidRPr="004B53BC" w:rsidRDefault="004B53BC">
      <w:pPr>
        <w:rPr>
          <w:rFonts w:ascii="Times New Roman" w:hAnsi="Times New Roman" w:cs="Times New Roman"/>
          <w:sz w:val="24"/>
          <w:szCs w:val="24"/>
        </w:rPr>
      </w:pPr>
      <w:r>
        <w:rPr>
          <w:rFonts w:ascii="Times New Roman" w:hAnsi="Times New Roman" w:cs="Times New Roman"/>
          <w:b/>
          <w:sz w:val="24"/>
          <w:szCs w:val="24"/>
        </w:rPr>
        <w:t>Epsilon-</w:t>
      </w:r>
      <w:r>
        <w:rPr>
          <w:rFonts w:ascii="Times New Roman" w:hAnsi="Times New Roman" w:cs="Times New Roman"/>
          <w:sz w:val="24"/>
          <w:szCs w:val="24"/>
        </w:rPr>
        <w:t>Insertion</w:t>
      </w:r>
    </w:p>
    <w:p w:rsidR="004B53BC" w:rsidRDefault="004B53BC">
      <w:pPr>
        <w:rPr>
          <w:rFonts w:ascii="Times New Roman" w:hAnsi="Times New Roman" w:cs="Times New Roman"/>
          <w:sz w:val="24"/>
          <w:szCs w:val="24"/>
        </w:rPr>
      </w:pPr>
      <w:r>
        <w:rPr>
          <w:rFonts w:ascii="Times New Roman" w:hAnsi="Times New Roman" w:cs="Times New Roman"/>
          <w:b/>
          <w:sz w:val="24"/>
          <w:szCs w:val="24"/>
        </w:rPr>
        <w:t>Zeta-</w:t>
      </w:r>
      <w:r>
        <w:rPr>
          <w:rFonts w:ascii="Times New Roman" w:hAnsi="Times New Roman" w:cs="Times New Roman"/>
          <w:sz w:val="24"/>
          <w:szCs w:val="24"/>
        </w:rPr>
        <w:t>Heap</w:t>
      </w:r>
    </w:p>
    <w:p w:rsidR="004B53BC" w:rsidRDefault="004B53BC" w:rsidP="004B53BC">
      <w:pPr>
        <w:jc w:val="center"/>
        <w:rPr>
          <w:rFonts w:ascii="Times New Roman" w:hAnsi="Times New Roman" w:cs="Times New Roman"/>
          <w:b/>
          <w:sz w:val="24"/>
          <w:szCs w:val="24"/>
        </w:rPr>
      </w:pPr>
      <w:r>
        <w:rPr>
          <w:rFonts w:ascii="Times New Roman" w:hAnsi="Times New Roman" w:cs="Times New Roman"/>
          <w:b/>
          <w:sz w:val="24"/>
          <w:szCs w:val="24"/>
        </w:rPr>
        <w:t>Analysis</w:t>
      </w:r>
    </w:p>
    <w:p w:rsidR="004B53BC" w:rsidRDefault="004B53BC" w:rsidP="004B53BC">
      <w:pPr>
        <w:rPr>
          <w:rFonts w:ascii="Times New Roman" w:hAnsi="Times New Roman" w:cs="Times New Roman"/>
          <w:sz w:val="24"/>
          <w:szCs w:val="24"/>
        </w:rPr>
      </w:pPr>
      <w:r>
        <w:rPr>
          <w:rFonts w:ascii="Times New Roman" w:hAnsi="Times New Roman" w:cs="Times New Roman"/>
          <w:sz w:val="24"/>
          <w:szCs w:val="24"/>
        </w:rPr>
        <w:tab/>
        <w:t>We first set the list size to 16, in ascending order. Using this list, we deduced that Beta and Gamma were selection and bubble sorts, because they require no movement to sort a list that is already in order. However, when we reversed the order of the array, Gamma required N</w:t>
      </w:r>
      <w:r>
        <w:rPr>
          <w:rFonts w:ascii="Times New Roman" w:hAnsi="Times New Roman" w:cs="Times New Roman"/>
          <w:sz w:val="24"/>
          <w:szCs w:val="24"/>
          <w:vertAlign w:val="superscript"/>
        </w:rPr>
        <w:t>2</w:t>
      </w:r>
      <w:r>
        <w:rPr>
          <w:rFonts w:ascii="Times New Roman" w:hAnsi="Times New Roman" w:cs="Times New Roman"/>
          <w:b/>
          <w:sz w:val="24"/>
          <w:szCs w:val="24"/>
        </w:rPr>
        <w:t xml:space="preserve"> </w:t>
      </w:r>
      <w:r>
        <w:rPr>
          <w:rFonts w:ascii="Times New Roman" w:hAnsi="Times New Roman" w:cs="Times New Roman"/>
          <w:sz w:val="24"/>
          <w:szCs w:val="24"/>
        </w:rPr>
        <w:t xml:space="preserve">comparisons, identifying it as a bubble sort. This means that Beta must be selection sort. </w:t>
      </w:r>
    </w:p>
    <w:p w:rsidR="009A00AA" w:rsidRDefault="009A00AA" w:rsidP="004B53BC">
      <w:pPr>
        <w:rPr>
          <w:rFonts w:ascii="Times New Roman" w:hAnsi="Times New Roman" w:cs="Times New Roman"/>
          <w:sz w:val="24"/>
          <w:szCs w:val="24"/>
        </w:rPr>
      </w:pPr>
      <w:r>
        <w:rPr>
          <w:rFonts w:ascii="Times New Roman" w:hAnsi="Times New Roman" w:cs="Times New Roman"/>
          <w:sz w:val="24"/>
          <w:szCs w:val="24"/>
        </w:rPr>
        <w:tab/>
        <w:t xml:space="preserve">We also observed that when using the size 16, ascending order array, Epsilon completed the sort with only 15 comparisons, which clearly indicates an insertion sort. This is because in a sorted array, each value after the first is compared to the previous value and since the array is sorted, the previous value will be less and thus only N-1 comparisons are required. </w:t>
      </w:r>
    </w:p>
    <w:p w:rsidR="000C0BE1" w:rsidRDefault="009A00AA" w:rsidP="004B53BC">
      <w:pPr>
        <w:rPr>
          <w:rFonts w:ascii="Times New Roman" w:hAnsi="Times New Roman" w:cs="Times New Roman"/>
          <w:sz w:val="24"/>
          <w:szCs w:val="24"/>
        </w:rPr>
      </w:pPr>
      <w:r>
        <w:rPr>
          <w:rFonts w:ascii="Times New Roman" w:hAnsi="Times New Roman" w:cs="Times New Roman"/>
          <w:sz w:val="24"/>
          <w:szCs w:val="24"/>
        </w:rPr>
        <w:tab/>
        <w:t xml:space="preserve">Continuing to use the same array, we discovered that Delta made considerably more comparisons, yet sorted with N-1 movements. This led us to believe that Delta was a quicksort, because the pivot had been selected as a max or min value, leading to an inefficient amount of comparisons. However, since the array was already sorted, only </w:t>
      </w:r>
      <w:r w:rsidR="000C0BE1">
        <w:rPr>
          <w:rFonts w:ascii="Times New Roman" w:hAnsi="Times New Roman" w:cs="Times New Roman"/>
          <w:sz w:val="24"/>
          <w:szCs w:val="24"/>
        </w:rPr>
        <w:t>N-1 movements were needed to be made. We decided that Delta was a quicksort.</w:t>
      </w:r>
    </w:p>
    <w:p w:rsidR="000C0BE1" w:rsidRDefault="000C0BE1" w:rsidP="004B53BC">
      <w:pPr>
        <w:rPr>
          <w:rFonts w:ascii="Times New Roman" w:hAnsi="Times New Roman" w:cs="Times New Roman"/>
          <w:sz w:val="24"/>
          <w:szCs w:val="24"/>
        </w:rPr>
      </w:pPr>
      <w:r>
        <w:rPr>
          <w:rFonts w:ascii="Times New Roman" w:hAnsi="Times New Roman" w:cs="Times New Roman"/>
          <w:sz w:val="24"/>
          <w:szCs w:val="24"/>
        </w:rPr>
        <w:tab/>
        <w:t>With Alpha2011 and Zeta remaining, we were sure that only merge sort and heap sort remained. We decided to investigate the number of compari</w:t>
      </w:r>
      <w:r w:rsidR="00025854">
        <w:rPr>
          <w:rFonts w:ascii="Times New Roman" w:hAnsi="Times New Roman" w:cs="Times New Roman"/>
          <w:sz w:val="24"/>
          <w:szCs w:val="24"/>
        </w:rPr>
        <w:t>sons made by each sort.</w:t>
      </w:r>
      <w:r>
        <w:rPr>
          <w:rFonts w:ascii="Times New Roman" w:hAnsi="Times New Roman" w:cs="Times New Roman"/>
          <w:sz w:val="24"/>
          <w:szCs w:val="24"/>
        </w:rPr>
        <w:t xml:space="preserve"> By changing the list size, we repeated noticed that Alpha2011 completed the sort with less comparisons than Zeta. Knowing that merge sort is more stable than heap sort, we decided to test the reliability of each sort at 60000 values. Alpha2011 completed consecutive sorts mostly within 30-32. However, Zeta completed consecutive searches with fluct</w:t>
      </w:r>
      <w:r w:rsidR="00025854">
        <w:rPr>
          <w:rFonts w:ascii="Times New Roman" w:hAnsi="Times New Roman" w:cs="Times New Roman"/>
          <w:sz w:val="24"/>
          <w:szCs w:val="24"/>
        </w:rPr>
        <w:t xml:space="preserve">uating times ranging from 0-55. Finally, we repeatedly noticed that Zeta required fewer movements than Alpha2011. We identified Alpha2011 as a merge sort because it required fewer comparisons (it only needs comparisons when merging), performed more reliably with high volume lists, and required more movements because of all the auxiliary space the size-one arrays need. We decided Zeta was a heap sort because it takes more comparisons than merge sort to heap down every other step, is less reliable with high volume lists, and requires less movements than merge sort because it does not necessarily have to traverse the entire heap array to heap down, and only uses one movement to swap the max value to the end. </w:t>
      </w:r>
    </w:p>
    <w:p w:rsidR="008039EF" w:rsidRDefault="008039EF" w:rsidP="008039EF">
      <w:pPr>
        <w:jc w:val="center"/>
        <w:rPr>
          <w:rFonts w:ascii="Times New Roman" w:hAnsi="Times New Roman" w:cs="Times New Roman"/>
          <w:sz w:val="24"/>
          <w:szCs w:val="24"/>
        </w:rPr>
      </w:pPr>
      <w:r>
        <w:rPr>
          <w:rFonts w:ascii="Times New Roman" w:hAnsi="Times New Roman" w:cs="Times New Roman"/>
          <w:sz w:val="24"/>
          <w:szCs w:val="24"/>
        </w:rPr>
        <w:lastRenderedPageBreak/>
        <w:t>Graphs</w:t>
      </w:r>
    </w:p>
    <w:p w:rsidR="00A843BB" w:rsidRDefault="00A843BB" w:rsidP="008039EF">
      <w:pPr>
        <w:jc w:val="center"/>
        <w:rPr>
          <w:rFonts w:ascii="Times New Roman" w:hAnsi="Times New Roman" w:cs="Times New Roman"/>
          <w:sz w:val="24"/>
          <w:szCs w:val="24"/>
        </w:rPr>
      </w:pPr>
      <w:bookmarkStart w:id="0" w:name="_GoBack"/>
      <w:bookmarkEnd w:id="0"/>
      <w:r>
        <w:rPr>
          <w:noProof/>
        </w:rPr>
        <w:drawing>
          <wp:anchor distT="0" distB="0" distL="114300" distR="114300" simplePos="0" relativeHeight="251658240" behindDoc="1" locked="0" layoutInCell="1" allowOverlap="1" wp14:anchorId="31E19BCE" wp14:editId="3722EC67">
            <wp:simplePos x="0" y="0"/>
            <wp:positionH relativeFrom="column">
              <wp:posOffset>676275</wp:posOffset>
            </wp:positionH>
            <wp:positionV relativeFrom="paragraph">
              <wp:posOffset>2734310</wp:posOffset>
            </wp:positionV>
            <wp:extent cx="4572000" cy="2743200"/>
            <wp:effectExtent l="0" t="0" r="19050" b="1905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noProof/>
        </w:rPr>
        <w:drawing>
          <wp:inline distT="0" distB="0" distL="0" distR="0" wp14:anchorId="1E8CCBB2" wp14:editId="1A6F2B95">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p>
    <w:p w:rsidR="00A843BB" w:rsidRDefault="00A843BB" w:rsidP="008039EF">
      <w:pPr>
        <w:jc w:val="cente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4B859D01" wp14:editId="5FE51C3C">
            <wp:simplePos x="0" y="0"/>
            <wp:positionH relativeFrom="column">
              <wp:posOffset>676275</wp:posOffset>
            </wp:positionH>
            <wp:positionV relativeFrom="paragraph">
              <wp:posOffset>-219075</wp:posOffset>
            </wp:positionV>
            <wp:extent cx="4572000" cy="2743200"/>
            <wp:effectExtent l="0" t="0" r="19050" b="1905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8039EF" w:rsidRPr="004B53BC" w:rsidRDefault="008039EF" w:rsidP="008039EF">
      <w:pPr>
        <w:jc w:val="cente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28D4F8F7" wp14:editId="0D5FDE58">
            <wp:simplePos x="0" y="0"/>
            <wp:positionH relativeFrom="column">
              <wp:posOffset>676275</wp:posOffset>
            </wp:positionH>
            <wp:positionV relativeFrom="paragraph">
              <wp:posOffset>2195830</wp:posOffset>
            </wp:positionV>
            <wp:extent cx="4572000" cy="2743200"/>
            <wp:effectExtent l="0" t="0" r="19050" b="1905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sectPr w:rsidR="008039EF" w:rsidRPr="004B5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07E" w:rsidRDefault="00BE707E" w:rsidP="00A843BB">
      <w:pPr>
        <w:spacing w:after="0" w:line="240" w:lineRule="auto"/>
      </w:pPr>
      <w:r>
        <w:separator/>
      </w:r>
    </w:p>
  </w:endnote>
  <w:endnote w:type="continuationSeparator" w:id="0">
    <w:p w:rsidR="00BE707E" w:rsidRDefault="00BE707E" w:rsidP="00A8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07E" w:rsidRDefault="00BE707E" w:rsidP="00A843BB">
      <w:pPr>
        <w:spacing w:after="0" w:line="240" w:lineRule="auto"/>
      </w:pPr>
      <w:r>
        <w:separator/>
      </w:r>
    </w:p>
  </w:footnote>
  <w:footnote w:type="continuationSeparator" w:id="0">
    <w:p w:rsidR="00BE707E" w:rsidRDefault="00BE707E" w:rsidP="00A843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BC"/>
    <w:rsid w:val="00025854"/>
    <w:rsid w:val="000C0BE1"/>
    <w:rsid w:val="004B53BC"/>
    <w:rsid w:val="008039EF"/>
    <w:rsid w:val="009A00AA"/>
    <w:rsid w:val="00A843BB"/>
    <w:rsid w:val="00B9381F"/>
    <w:rsid w:val="00BE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9EF"/>
    <w:rPr>
      <w:rFonts w:ascii="Tahoma" w:hAnsi="Tahoma" w:cs="Tahoma"/>
      <w:sz w:val="16"/>
      <w:szCs w:val="16"/>
    </w:rPr>
  </w:style>
  <w:style w:type="paragraph" w:styleId="Header">
    <w:name w:val="header"/>
    <w:basedOn w:val="Normal"/>
    <w:link w:val="HeaderChar"/>
    <w:uiPriority w:val="99"/>
    <w:unhideWhenUsed/>
    <w:rsid w:val="00A84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3BB"/>
  </w:style>
  <w:style w:type="paragraph" w:styleId="Footer">
    <w:name w:val="footer"/>
    <w:basedOn w:val="Normal"/>
    <w:link w:val="FooterChar"/>
    <w:uiPriority w:val="99"/>
    <w:unhideWhenUsed/>
    <w:rsid w:val="00A84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3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9EF"/>
    <w:rPr>
      <w:rFonts w:ascii="Tahoma" w:hAnsi="Tahoma" w:cs="Tahoma"/>
      <w:sz w:val="16"/>
      <w:szCs w:val="16"/>
    </w:rPr>
  </w:style>
  <w:style w:type="paragraph" w:styleId="Header">
    <w:name w:val="header"/>
    <w:basedOn w:val="Normal"/>
    <w:link w:val="HeaderChar"/>
    <w:uiPriority w:val="99"/>
    <w:unhideWhenUsed/>
    <w:rsid w:val="00A84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3BB"/>
  </w:style>
  <w:style w:type="paragraph" w:styleId="Footer">
    <w:name w:val="footer"/>
    <w:basedOn w:val="Normal"/>
    <w:link w:val="FooterChar"/>
    <w:uiPriority w:val="99"/>
    <w:unhideWhenUsed/>
    <w:rsid w:val="00A84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Random</a:t>
            </a:r>
            <a:r>
              <a:rPr lang="en-US" baseline="0"/>
              <a:t> List 500 Elements</a:t>
            </a:r>
            <a:endParaRPr lang="en-US"/>
          </a:p>
        </c:rich>
      </c:tx>
      <c:overlay val="0"/>
    </c:title>
    <c:autoTitleDeleted val="0"/>
    <c:plotArea>
      <c:layout/>
      <c:lineChart>
        <c:grouping val="standard"/>
        <c:varyColors val="0"/>
        <c:ser>
          <c:idx val="0"/>
          <c:order val="0"/>
          <c:tx>
            <c:strRef>
              <c:f>Sheet1!$B$1</c:f>
              <c:strCache>
                <c:ptCount val="1"/>
                <c:pt idx="0">
                  <c:v>Comparisons</c:v>
                </c:pt>
              </c:strCache>
            </c:strRef>
          </c:tx>
          <c:marker>
            <c:symbol val="none"/>
          </c:marker>
          <c:cat>
            <c:strRef>
              <c:f>Sheet1!$A$2:$A$7</c:f>
              <c:strCache>
                <c:ptCount val="6"/>
                <c:pt idx="0">
                  <c:v>Alpha2011</c:v>
                </c:pt>
                <c:pt idx="1">
                  <c:v>Beta</c:v>
                </c:pt>
                <c:pt idx="2">
                  <c:v>Gamma</c:v>
                </c:pt>
                <c:pt idx="3">
                  <c:v>Delta</c:v>
                </c:pt>
                <c:pt idx="4">
                  <c:v>Epsilon</c:v>
                </c:pt>
                <c:pt idx="5">
                  <c:v>Zeta</c:v>
                </c:pt>
              </c:strCache>
            </c:strRef>
          </c:cat>
          <c:val>
            <c:numRef>
              <c:f>Sheet1!$B$2:$B$7</c:f>
              <c:numCache>
                <c:formatCode>General</c:formatCode>
                <c:ptCount val="6"/>
                <c:pt idx="0">
                  <c:v>8676</c:v>
                </c:pt>
                <c:pt idx="1">
                  <c:v>499500</c:v>
                </c:pt>
                <c:pt idx="2">
                  <c:v>1000000</c:v>
                </c:pt>
                <c:pt idx="3">
                  <c:v>16103</c:v>
                </c:pt>
                <c:pt idx="4">
                  <c:v>262508</c:v>
                </c:pt>
                <c:pt idx="5">
                  <c:v>16810</c:v>
                </c:pt>
              </c:numCache>
            </c:numRef>
          </c:val>
          <c:smooth val="0"/>
        </c:ser>
        <c:ser>
          <c:idx val="1"/>
          <c:order val="1"/>
          <c:tx>
            <c:strRef>
              <c:f>Sheet1!$C$1</c:f>
              <c:strCache>
                <c:ptCount val="1"/>
                <c:pt idx="0">
                  <c:v>Movements</c:v>
                </c:pt>
              </c:strCache>
            </c:strRef>
          </c:tx>
          <c:marker>
            <c:symbol val="none"/>
          </c:marker>
          <c:cat>
            <c:strRef>
              <c:f>Sheet1!$A$2:$A$7</c:f>
              <c:strCache>
                <c:ptCount val="6"/>
                <c:pt idx="0">
                  <c:v>Alpha2011</c:v>
                </c:pt>
                <c:pt idx="1">
                  <c:v>Beta</c:v>
                </c:pt>
                <c:pt idx="2">
                  <c:v>Gamma</c:v>
                </c:pt>
                <c:pt idx="3">
                  <c:v>Delta</c:v>
                </c:pt>
                <c:pt idx="4">
                  <c:v>Epsilon</c:v>
                </c:pt>
                <c:pt idx="5">
                  <c:v>Zeta</c:v>
                </c:pt>
              </c:strCache>
            </c:strRef>
          </c:cat>
          <c:val>
            <c:numRef>
              <c:f>Sheet1!$C$2:$C$7</c:f>
              <c:numCache>
                <c:formatCode>General</c:formatCode>
                <c:ptCount val="6"/>
                <c:pt idx="0">
                  <c:v>19952</c:v>
                </c:pt>
                <c:pt idx="1">
                  <c:v>2997</c:v>
                </c:pt>
                <c:pt idx="2">
                  <c:v>784551</c:v>
                </c:pt>
                <c:pt idx="3">
                  <c:v>7962</c:v>
                </c:pt>
                <c:pt idx="4">
                  <c:v>263515</c:v>
                </c:pt>
                <c:pt idx="5">
                  <c:v>14033</c:v>
                </c:pt>
              </c:numCache>
            </c:numRef>
          </c:val>
          <c:smooth val="0"/>
        </c:ser>
        <c:dLbls>
          <c:showLegendKey val="0"/>
          <c:showVal val="0"/>
          <c:showCatName val="0"/>
          <c:showSerName val="0"/>
          <c:showPercent val="0"/>
          <c:showBubbleSize val="0"/>
        </c:dLbls>
        <c:marker val="1"/>
        <c:smooth val="0"/>
        <c:axId val="90987136"/>
        <c:axId val="91079040"/>
      </c:lineChart>
      <c:catAx>
        <c:axId val="90987136"/>
        <c:scaling>
          <c:orientation val="minMax"/>
        </c:scaling>
        <c:delete val="0"/>
        <c:axPos val="b"/>
        <c:majorTickMark val="out"/>
        <c:minorTickMark val="none"/>
        <c:tickLblPos val="nextTo"/>
        <c:crossAx val="91079040"/>
        <c:crosses val="autoZero"/>
        <c:auto val="1"/>
        <c:lblAlgn val="ctr"/>
        <c:lblOffset val="100"/>
        <c:noMultiLvlLbl val="0"/>
      </c:catAx>
      <c:valAx>
        <c:axId val="91079040"/>
        <c:scaling>
          <c:orientation val="minMax"/>
        </c:scaling>
        <c:delete val="0"/>
        <c:axPos val="l"/>
        <c:majorGridlines/>
        <c:numFmt formatCode="General" sourceLinked="1"/>
        <c:majorTickMark val="out"/>
        <c:minorTickMark val="none"/>
        <c:tickLblPos val="nextTo"/>
        <c:crossAx val="909871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AlmostOrder List 500 Elements</a:t>
            </a:r>
          </a:p>
        </c:rich>
      </c:tx>
      <c:overlay val="0"/>
    </c:title>
    <c:autoTitleDeleted val="0"/>
    <c:plotArea>
      <c:layout/>
      <c:lineChart>
        <c:grouping val="standard"/>
        <c:varyColors val="0"/>
        <c:ser>
          <c:idx val="0"/>
          <c:order val="0"/>
          <c:tx>
            <c:strRef>
              <c:f>Sheet1!$B$1</c:f>
              <c:strCache>
                <c:ptCount val="1"/>
                <c:pt idx="0">
                  <c:v>Comparisons</c:v>
                </c:pt>
              </c:strCache>
            </c:strRef>
          </c:tx>
          <c:marker>
            <c:symbol val="none"/>
          </c:marker>
          <c:cat>
            <c:strRef>
              <c:f>Sheet1!$A$2:$A$7</c:f>
              <c:strCache>
                <c:ptCount val="6"/>
                <c:pt idx="0">
                  <c:v>Alpha2011</c:v>
                </c:pt>
                <c:pt idx="1">
                  <c:v>Beta</c:v>
                </c:pt>
                <c:pt idx="2">
                  <c:v>Gamma</c:v>
                </c:pt>
                <c:pt idx="3">
                  <c:v>Delta</c:v>
                </c:pt>
                <c:pt idx="4">
                  <c:v>Epsilon</c:v>
                </c:pt>
                <c:pt idx="5">
                  <c:v>Zeta</c:v>
                </c:pt>
              </c:strCache>
            </c:strRef>
          </c:cat>
          <c:val>
            <c:numRef>
              <c:f>Sheet1!$B$2:$B$7</c:f>
              <c:numCache>
                <c:formatCode>General</c:formatCode>
                <c:ptCount val="6"/>
                <c:pt idx="0">
                  <c:v>3262</c:v>
                </c:pt>
                <c:pt idx="1">
                  <c:v>124750</c:v>
                </c:pt>
                <c:pt idx="2">
                  <c:v>250000</c:v>
                </c:pt>
                <c:pt idx="3">
                  <c:v>13954</c:v>
                </c:pt>
                <c:pt idx="4">
                  <c:v>10453</c:v>
                </c:pt>
                <c:pt idx="5">
                  <c:v>7726</c:v>
                </c:pt>
              </c:numCache>
            </c:numRef>
          </c:val>
          <c:smooth val="0"/>
        </c:ser>
        <c:ser>
          <c:idx val="1"/>
          <c:order val="1"/>
          <c:tx>
            <c:strRef>
              <c:f>Sheet1!$C$1</c:f>
              <c:strCache>
                <c:ptCount val="1"/>
                <c:pt idx="0">
                  <c:v>Movements</c:v>
                </c:pt>
              </c:strCache>
            </c:strRef>
          </c:tx>
          <c:marker>
            <c:symbol val="none"/>
          </c:marker>
          <c:cat>
            <c:strRef>
              <c:f>Sheet1!$A$2:$A$7</c:f>
              <c:strCache>
                <c:ptCount val="6"/>
                <c:pt idx="0">
                  <c:v>Alpha2011</c:v>
                </c:pt>
                <c:pt idx="1">
                  <c:v>Beta</c:v>
                </c:pt>
                <c:pt idx="2">
                  <c:v>Gamma</c:v>
                </c:pt>
                <c:pt idx="3">
                  <c:v>Delta</c:v>
                </c:pt>
                <c:pt idx="4">
                  <c:v>Epsilon</c:v>
                </c:pt>
                <c:pt idx="5">
                  <c:v>Zeta</c:v>
                </c:pt>
              </c:strCache>
            </c:strRef>
          </c:cat>
          <c:val>
            <c:numRef>
              <c:f>Sheet1!$C$2:$C$7</c:f>
              <c:numCache>
                <c:formatCode>General</c:formatCode>
                <c:ptCount val="6"/>
                <c:pt idx="0">
                  <c:v>8976</c:v>
                </c:pt>
                <c:pt idx="1">
                  <c:v>72</c:v>
                </c:pt>
                <c:pt idx="2">
                  <c:v>29862</c:v>
                </c:pt>
                <c:pt idx="3">
                  <c:v>697</c:v>
                </c:pt>
                <c:pt idx="4">
                  <c:v>10952</c:v>
                </c:pt>
                <c:pt idx="5">
                  <c:v>6790</c:v>
                </c:pt>
              </c:numCache>
            </c:numRef>
          </c:val>
          <c:smooth val="0"/>
        </c:ser>
        <c:dLbls>
          <c:showLegendKey val="0"/>
          <c:showVal val="0"/>
          <c:showCatName val="0"/>
          <c:showSerName val="0"/>
          <c:showPercent val="0"/>
          <c:showBubbleSize val="0"/>
        </c:dLbls>
        <c:marker val="1"/>
        <c:smooth val="0"/>
        <c:axId val="94631040"/>
        <c:axId val="94632576"/>
      </c:lineChart>
      <c:catAx>
        <c:axId val="94631040"/>
        <c:scaling>
          <c:orientation val="minMax"/>
        </c:scaling>
        <c:delete val="0"/>
        <c:axPos val="b"/>
        <c:majorTickMark val="out"/>
        <c:minorTickMark val="none"/>
        <c:tickLblPos val="nextTo"/>
        <c:crossAx val="94632576"/>
        <c:crosses val="autoZero"/>
        <c:auto val="1"/>
        <c:lblAlgn val="ctr"/>
        <c:lblOffset val="100"/>
        <c:noMultiLvlLbl val="0"/>
      </c:catAx>
      <c:valAx>
        <c:axId val="94632576"/>
        <c:scaling>
          <c:orientation val="minMax"/>
        </c:scaling>
        <c:delete val="0"/>
        <c:axPos val="l"/>
        <c:majorGridlines/>
        <c:numFmt formatCode="General" sourceLinked="1"/>
        <c:majorTickMark val="out"/>
        <c:minorTickMark val="none"/>
        <c:tickLblPos val="nextTo"/>
        <c:crossAx val="9463104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InOrder List 500 Elements</a:t>
            </a:r>
          </a:p>
        </c:rich>
      </c:tx>
      <c:overlay val="0"/>
    </c:title>
    <c:autoTitleDeleted val="0"/>
    <c:plotArea>
      <c:layout/>
      <c:lineChart>
        <c:grouping val="standard"/>
        <c:varyColors val="0"/>
        <c:ser>
          <c:idx val="0"/>
          <c:order val="0"/>
          <c:tx>
            <c:strRef>
              <c:f>Sheet1!$B$1</c:f>
              <c:strCache>
                <c:ptCount val="1"/>
                <c:pt idx="0">
                  <c:v>Comparisons</c:v>
                </c:pt>
              </c:strCache>
            </c:strRef>
          </c:tx>
          <c:marker>
            <c:symbol val="none"/>
          </c:marker>
          <c:cat>
            <c:strRef>
              <c:f>Sheet1!$A$2:$A$7</c:f>
              <c:strCache>
                <c:ptCount val="6"/>
                <c:pt idx="0">
                  <c:v>Alpha2011</c:v>
                </c:pt>
                <c:pt idx="1">
                  <c:v>Beta</c:v>
                </c:pt>
                <c:pt idx="2">
                  <c:v>Gamma</c:v>
                </c:pt>
                <c:pt idx="3">
                  <c:v>Delta</c:v>
                </c:pt>
                <c:pt idx="4">
                  <c:v>Epsilon</c:v>
                </c:pt>
                <c:pt idx="5">
                  <c:v>Zeta</c:v>
                </c:pt>
              </c:strCache>
            </c:strRef>
          </c:cat>
          <c:val>
            <c:numRef>
              <c:f>Sheet1!$B$2:$B$7</c:f>
              <c:numCache>
                <c:formatCode>General</c:formatCode>
                <c:ptCount val="6"/>
                <c:pt idx="0">
                  <c:v>2216</c:v>
                </c:pt>
                <c:pt idx="1">
                  <c:v>124750</c:v>
                </c:pt>
                <c:pt idx="2">
                  <c:v>250000</c:v>
                </c:pt>
                <c:pt idx="3">
                  <c:v>125998</c:v>
                </c:pt>
                <c:pt idx="4">
                  <c:v>124750</c:v>
                </c:pt>
                <c:pt idx="5">
                  <c:v>7010</c:v>
                </c:pt>
              </c:numCache>
            </c:numRef>
          </c:val>
          <c:smooth val="0"/>
        </c:ser>
        <c:ser>
          <c:idx val="1"/>
          <c:order val="1"/>
          <c:tx>
            <c:strRef>
              <c:f>Sheet1!$C$1</c:f>
              <c:strCache>
                <c:ptCount val="1"/>
                <c:pt idx="0">
                  <c:v>Movements</c:v>
                </c:pt>
              </c:strCache>
            </c:strRef>
          </c:tx>
          <c:marker>
            <c:symbol val="none"/>
          </c:marker>
          <c:cat>
            <c:strRef>
              <c:f>Sheet1!$A$2:$A$7</c:f>
              <c:strCache>
                <c:ptCount val="6"/>
                <c:pt idx="0">
                  <c:v>Alpha2011</c:v>
                </c:pt>
                <c:pt idx="1">
                  <c:v>Beta</c:v>
                </c:pt>
                <c:pt idx="2">
                  <c:v>Gamma</c:v>
                </c:pt>
                <c:pt idx="3">
                  <c:v>Delta</c:v>
                </c:pt>
                <c:pt idx="4">
                  <c:v>Epsilon</c:v>
                </c:pt>
                <c:pt idx="5">
                  <c:v>Zeta</c:v>
                </c:pt>
              </c:strCache>
            </c:strRef>
          </c:cat>
          <c:val>
            <c:numRef>
              <c:f>Sheet1!$C$2:$C$7</c:f>
              <c:numCache>
                <c:formatCode>General</c:formatCode>
                <c:ptCount val="6"/>
                <c:pt idx="0">
                  <c:v>8976</c:v>
                </c:pt>
                <c:pt idx="1">
                  <c:v>750</c:v>
                </c:pt>
                <c:pt idx="2">
                  <c:v>374250</c:v>
                </c:pt>
                <c:pt idx="3">
                  <c:v>1249</c:v>
                </c:pt>
                <c:pt idx="4">
                  <c:v>125748</c:v>
                </c:pt>
                <c:pt idx="5">
                  <c:v>6174</c:v>
                </c:pt>
              </c:numCache>
            </c:numRef>
          </c:val>
          <c:smooth val="0"/>
        </c:ser>
        <c:dLbls>
          <c:showLegendKey val="0"/>
          <c:showVal val="0"/>
          <c:showCatName val="0"/>
          <c:showSerName val="0"/>
          <c:showPercent val="0"/>
          <c:showBubbleSize val="0"/>
        </c:dLbls>
        <c:marker val="1"/>
        <c:smooth val="0"/>
        <c:axId val="94694784"/>
        <c:axId val="94708864"/>
      </c:lineChart>
      <c:catAx>
        <c:axId val="94694784"/>
        <c:scaling>
          <c:orientation val="minMax"/>
        </c:scaling>
        <c:delete val="0"/>
        <c:axPos val="b"/>
        <c:majorTickMark val="out"/>
        <c:minorTickMark val="none"/>
        <c:tickLblPos val="nextTo"/>
        <c:crossAx val="94708864"/>
        <c:crosses val="autoZero"/>
        <c:auto val="1"/>
        <c:lblAlgn val="ctr"/>
        <c:lblOffset val="100"/>
        <c:noMultiLvlLbl val="0"/>
      </c:catAx>
      <c:valAx>
        <c:axId val="94708864"/>
        <c:scaling>
          <c:orientation val="minMax"/>
        </c:scaling>
        <c:delete val="0"/>
        <c:axPos val="l"/>
        <c:majorGridlines/>
        <c:numFmt formatCode="General" sourceLinked="1"/>
        <c:majorTickMark val="out"/>
        <c:minorTickMark val="none"/>
        <c:tickLblPos val="nextTo"/>
        <c:crossAx val="9469478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ReverseOrder List 500 Elements</a:t>
            </a:r>
          </a:p>
        </c:rich>
      </c:tx>
      <c:overlay val="0"/>
    </c:title>
    <c:autoTitleDeleted val="0"/>
    <c:plotArea>
      <c:layout/>
      <c:lineChart>
        <c:grouping val="standard"/>
        <c:varyColors val="0"/>
        <c:ser>
          <c:idx val="0"/>
          <c:order val="0"/>
          <c:tx>
            <c:strRef>
              <c:f>Sheet1!$B$1</c:f>
              <c:strCache>
                <c:ptCount val="1"/>
                <c:pt idx="0">
                  <c:v>Comparisons</c:v>
                </c:pt>
              </c:strCache>
            </c:strRef>
          </c:tx>
          <c:marker>
            <c:symbol val="none"/>
          </c:marker>
          <c:cat>
            <c:strRef>
              <c:f>Sheet1!$A$2:$A$7</c:f>
              <c:strCache>
                <c:ptCount val="6"/>
                <c:pt idx="0">
                  <c:v>Alpha2011</c:v>
                </c:pt>
                <c:pt idx="1">
                  <c:v>Beta</c:v>
                </c:pt>
                <c:pt idx="2">
                  <c:v>Gamma</c:v>
                </c:pt>
                <c:pt idx="3">
                  <c:v>Delta</c:v>
                </c:pt>
                <c:pt idx="4">
                  <c:v>Epsilon</c:v>
                </c:pt>
                <c:pt idx="5">
                  <c:v>Zeta</c:v>
                </c:pt>
              </c:strCache>
            </c:strRef>
          </c:cat>
          <c:val>
            <c:numRef>
              <c:f>Sheet1!$B$2:$B$7</c:f>
              <c:numCache>
                <c:formatCode>General</c:formatCode>
                <c:ptCount val="6"/>
                <c:pt idx="0">
                  <c:v>3262</c:v>
                </c:pt>
                <c:pt idx="1">
                  <c:v>124750</c:v>
                </c:pt>
                <c:pt idx="2">
                  <c:v>250000</c:v>
                </c:pt>
                <c:pt idx="3">
                  <c:v>13954</c:v>
                </c:pt>
                <c:pt idx="4">
                  <c:v>10453</c:v>
                </c:pt>
                <c:pt idx="5">
                  <c:v>7726</c:v>
                </c:pt>
              </c:numCache>
            </c:numRef>
          </c:val>
          <c:smooth val="0"/>
        </c:ser>
        <c:ser>
          <c:idx val="1"/>
          <c:order val="1"/>
          <c:tx>
            <c:strRef>
              <c:f>Sheet1!$C$1</c:f>
              <c:strCache>
                <c:ptCount val="1"/>
                <c:pt idx="0">
                  <c:v>Movements</c:v>
                </c:pt>
              </c:strCache>
            </c:strRef>
          </c:tx>
          <c:marker>
            <c:symbol val="none"/>
          </c:marker>
          <c:cat>
            <c:strRef>
              <c:f>Sheet1!$A$2:$A$7</c:f>
              <c:strCache>
                <c:ptCount val="6"/>
                <c:pt idx="0">
                  <c:v>Alpha2011</c:v>
                </c:pt>
                <c:pt idx="1">
                  <c:v>Beta</c:v>
                </c:pt>
                <c:pt idx="2">
                  <c:v>Gamma</c:v>
                </c:pt>
                <c:pt idx="3">
                  <c:v>Delta</c:v>
                </c:pt>
                <c:pt idx="4">
                  <c:v>Epsilon</c:v>
                </c:pt>
                <c:pt idx="5">
                  <c:v>Zeta</c:v>
                </c:pt>
              </c:strCache>
            </c:strRef>
          </c:cat>
          <c:val>
            <c:numRef>
              <c:f>Sheet1!$C$2:$C$7</c:f>
              <c:numCache>
                <c:formatCode>General</c:formatCode>
                <c:ptCount val="6"/>
                <c:pt idx="0">
                  <c:v>8976</c:v>
                </c:pt>
                <c:pt idx="1">
                  <c:v>72</c:v>
                </c:pt>
                <c:pt idx="2">
                  <c:v>29862</c:v>
                </c:pt>
                <c:pt idx="3">
                  <c:v>697</c:v>
                </c:pt>
                <c:pt idx="4">
                  <c:v>10952</c:v>
                </c:pt>
                <c:pt idx="5">
                  <c:v>6790</c:v>
                </c:pt>
              </c:numCache>
            </c:numRef>
          </c:val>
          <c:smooth val="0"/>
        </c:ser>
        <c:dLbls>
          <c:showLegendKey val="0"/>
          <c:showVal val="0"/>
          <c:showCatName val="0"/>
          <c:showSerName val="0"/>
          <c:showPercent val="0"/>
          <c:showBubbleSize val="0"/>
        </c:dLbls>
        <c:marker val="1"/>
        <c:smooth val="0"/>
        <c:axId val="95074176"/>
        <c:axId val="95075712"/>
      </c:lineChart>
      <c:catAx>
        <c:axId val="95074176"/>
        <c:scaling>
          <c:orientation val="minMax"/>
        </c:scaling>
        <c:delete val="0"/>
        <c:axPos val="b"/>
        <c:majorTickMark val="out"/>
        <c:minorTickMark val="none"/>
        <c:tickLblPos val="nextTo"/>
        <c:crossAx val="95075712"/>
        <c:crosses val="autoZero"/>
        <c:auto val="1"/>
        <c:lblAlgn val="ctr"/>
        <c:lblOffset val="100"/>
        <c:noMultiLvlLbl val="0"/>
      </c:catAx>
      <c:valAx>
        <c:axId val="95075712"/>
        <c:scaling>
          <c:orientation val="minMax"/>
        </c:scaling>
        <c:delete val="0"/>
        <c:axPos val="l"/>
        <c:majorGridlines/>
        <c:numFmt formatCode="General" sourceLinked="1"/>
        <c:majorTickMark val="out"/>
        <c:minorTickMark val="none"/>
        <c:tickLblPos val="nextTo"/>
        <c:crossAx val="950741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5AA94-5AE4-40CE-B69B-C11F5189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dcterms:created xsi:type="dcterms:W3CDTF">2012-04-08T21:01:00Z</dcterms:created>
  <dcterms:modified xsi:type="dcterms:W3CDTF">2012-04-11T03:32:00Z</dcterms:modified>
</cp:coreProperties>
</file>