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64" w:lineRule="atLeast"/>
        <w:ind w:left="8960" w:firstLine="655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D0D0D"/>
          <w:sz w:val="28"/>
          <w:szCs w:val="28"/>
        </w:rPr>
        <w:t xml:space="preserve">密级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D0D0D"/>
          <w:sz w:val="28"/>
          <w:szCs w:val="28"/>
        </w:rPr>
        <w:t xml:space="preserve"> </w:t>
      </w:r>
    </w:p>
    <w:p>
      <w:pPr>
        <w:spacing w:after="0" w:before="0" w:line="312" w:lineRule="atLeast"/>
        <w:ind w:firstLine="883"/>
        <w:jc w:val="center"/>
      </w:pPr>
    </w:p>
    <w:p>
      <w:pPr>
        <w:spacing w:after="0" w:before="0" w:line="312" w:lineRule="atLeast"/>
        <w:ind w:firstLine="883"/>
        <w:jc w:val="center"/>
      </w:pPr>
    </w:p>
    <w:p>
      <w:pPr>
        <w:spacing w:after="0" w:before="0" w:line="312" w:lineRule="atLeast"/>
        <w:ind w:firstLine="883"/>
        <w:jc w:val="center"/>
      </w:pPr>
    </w:p>
    <w:p>
      <w:pPr>
        <w:spacing w:after="0" w:before="0" w:line="572" w:lineRule="atLeast"/>
        <w:ind w:firstLine="1619"/>
        <w:jc w:val="center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44"/>
          <w:szCs w:val="44"/>
        </w:rPr>
        <w:t xml:space="preserve">项目实施方案</w:t>
      </w:r>
    </w:p>
    <w:p>
      <w:pPr>
        <w:spacing w:after="0" w:before="0" w:line="312" w:lineRule="atLeast"/>
        <w:ind w:firstLine="560"/>
        <w:jc w:val="center"/>
      </w:pPr>
    </w:p>
    <w:p>
      <w:pPr>
        <w:spacing w:after="0" w:before="0" w:line="312" w:lineRule="atLeast"/>
        <w:ind w:firstLine="561"/>
        <w:jc w:val="center"/>
      </w:pPr>
    </w:p>
    <w:p>
      <w:pPr>
        <w:spacing w:after="0" w:before="0" w:line="312" w:lineRule="atLeast"/>
        <w:ind w:firstLine="560"/>
        <w:jc w:val="center"/>
      </w:pPr>
    </w:p>
    <w:p>
      <w:pPr>
        <w:spacing w:after="0" w:before="0" w:line="312" w:lineRule="atLeast"/>
        <w:ind w:firstLine="560"/>
        <w:jc w:val="center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gridSpan w:val="1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pPr>
              <w:spacing w:after="160" w:before="0" w:line="364" w:lineRule="atLeast"/>
              <w:ind w:firstLine="655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strike w:val="false"/>
                <w:color w:val="0D0D0D"/>
                <w:sz w:val="28"/>
                <w:szCs w:val="28"/>
              </w:rPr>
              <w:t xml:space="preserve">项目名称</w:t>
            </w:r>
          </w:p>
        </w:tc>
        <w:tc>
          <w:tcPr>
            <w:gridSpan w:val="1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pPr>
              <w:spacing w:after="160" w:before="0" w:line="364" w:lineRule="atLeast"/>
              <w:ind w:firstLine="655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strike w:val="false"/>
                <w:color w:val="0D0D0D"/>
                <w:sz w:val="28"/>
                <w:szCs w:val="28"/>
              </w:rPr>
              <w:t xml:space="preserve">: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0" w:before="0" w:line="312" w:lineRule="atLeast"/>
              <w:ind w:firstLine="561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公文AI辅助写作问答知识库建设</w:t>
            </w:r>
          </w:p>
        </w:tc>
      </w:tr>
      <w:tr>
        <w:tc>
          <w:tcPr>
            <w:gridSpan w:val="1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pPr>
              <w:spacing w:after="160" w:before="0" w:line="364" w:lineRule="atLeast"/>
              <w:ind w:firstLine="655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strike w:val="false"/>
                <w:color w:val="0D0D0D"/>
                <w:sz w:val="28"/>
                <w:szCs w:val="28"/>
              </w:rPr>
              <w:t xml:space="preserve">委托单位</w:t>
            </w:r>
          </w:p>
        </w:tc>
        <w:tc>
          <w:tcPr>
            <w:gridSpan w:val="1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pPr>
              <w:spacing w:after="160" w:before="0" w:line="364" w:lineRule="atLeast"/>
              <w:ind w:firstLine="655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strike w:val="false"/>
                <w:color w:val="0D0D0D"/>
                <w:sz w:val="28"/>
                <w:szCs w:val="28"/>
              </w:rPr>
              <w:t xml:space="preserve">: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0" w:before="0" w:line="312" w:lineRule="atLeast"/>
              <w:ind w:firstLine="561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蜀道集团</w:t>
            </w:r>
          </w:p>
        </w:tc>
      </w:tr>
      <w:tr>
        <w:tc>
          <w:tcPr>
            <w:gridSpan w:val="1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pPr>
              <w:spacing w:after="160" w:before="0" w:line="364" w:lineRule="atLeast"/>
              <w:ind w:firstLine="655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strike w:val="false"/>
                <w:color w:val="0D0D0D"/>
                <w:sz w:val="28"/>
                <w:szCs w:val="28"/>
              </w:rPr>
              <w:t xml:space="preserve">承制单位</w:t>
            </w:r>
          </w:p>
        </w:tc>
        <w:tc>
          <w:tcPr>
            <w:gridSpan w:val="1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pPr>
              <w:spacing w:after="160" w:before="0" w:line="364" w:lineRule="atLeast"/>
              <w:ind w:firstLine="655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strike w:val="false"/>
                <w:color w:val="0D0D0D"/>
                <w:sz w:val="28"/>
                <w:szCs w:val="28"/>
              </w:rPr>
              <w:t xml:space="preserve">: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160" w:before="0" w:line="364" w:lineRule="atLeast"/>
              <w:ind w:firstLine="655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strike w:val="false"/>
                <w:color w:val="0D0D0D"/>
                <w:sz w:val="28"/>
                <w:szCs w:val="28"/>
              </w:rPr>
              <w:t xml:space="preserve">西北工业大学</w:t>
            </w:r>
          </w:p>
        </w:tc>
      </w:tr>
    </w:tbl>
    <w:p>
      <w:pPr>
        <w:spacing w:after="0" w:before="0" w:line="312" w:lineRule="atLeast"/>
        <w:ind w:firstLine="560"/>
        <w:jc w:val="center"/>
      </w:pPr>
    </w:p>
    <w:p>
      <w:pPr>
        <w:spacing w:after="0" w:before="0" w:line="312" w:lineRule="atLeast"/>
        <w:ind w:firstLine="560"/>
        <w:jc w:val="center"/>
      </w:pPr>
    </w:p>
    <w:p>
      <w:pPr>
        <w:spacing w:after="0" w:before="0" w:line="312" w:lineRule="atLeast"/>
        <w:ind w:firstLine="560"/>
        <w:jc w:val="center"/>
      </w:pPr>
    </w:p>
    <w:p>
      <w:pPr>
        <w:spacing w:after="0" w:before="0" w:line="312" w:lineRule="atLeast"/>
        <w:ind w:firstLine="560"/>
        <w:jc w:val="both"/>
      </w:pPr>
    </w:p>
    <w:p>
      <w:pPr>
        <w:spacing w:after="0" w:before="0" w:line="312" w:lineRule="atLeast"/>
        <w:ind w:firstLine="561"/>
        <w:jc w:val="both"/>
      </w:pPr>
    </w:p>
    <w:p>
      <w:pPr>
        <w:spacing w:after="0" w:before="0" w:line="312" w:lineRule="atLeast"/>
        <w:ind w:firstLine="560"/>
        <w:jc w:val="center"/>
      </w:pPr>
    </w:p>
    <w:p>
      <w:pPr>
        <w:spacing w:after="0" w:before="0" w:line="312" w:lineRule="atLeast"/>
        <w:ind w:firstLine="561"/>
        <w:jc w:val="both"/>
      </w:pPr>
    </w:p>
    <w:p>
      <w:pPr>
        <w:spacing w:after="0" w:before="0" w:line="364" w:lineRule="atLeast"/>
        <w:ind w:firstLine="749"/>
        <w:jc w:val="center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D0D0D"/>
          <w:spacing w:val="20"/>
          <w:sz w:val="28"/>
          <w:szCs w:val="28"/>
        </w:rPr>
        <w:t xml:space="preserve">西北工业大学</w:t>
      </w:r>
    </w:p>
    <w:p>
      <w:pPr>
        <w:spacing w:after="0" w:before="0" w:line="364" w:lineRule="atLeast"/>
        <w:ind w:firstLine="653"/>
        <w:jc w:val="center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D0D0D"/>
          <w:sz w:val="28"/>
          <w:szCs w:val="28"/>
        </w:rPr>
        <w:t xml:space="preserve">  年    月    日</w:t>
      </w:r>
    </w:p>
    <w:p>
      <w:pPr>
        <w:spacing w:after="0" w:before="0" w:line="312" w:lineRule="atLeast"/>
        <w:ind w:firstLine="560"/>
        <w:jc w:val="center"/>
      </w:pPr>
    </w:p>
    <w:p>
      <w:pPr>
        <w:spacing w:after="0" w:before="0" w:line="312" w:lineRule="atLeast"/>
        <w:ind w:firstLine="560"/>
        <w:jc w:val="both"/>
      </w:pPr>
    </w:p>
    <w:p>
      <w:pPr>
        <w:spacing w:after="0" w:before="0" w:line="280" w:lineRule="atLeast"/>
        <w:ind w:firstLine="655"/>
        <w:jc w:val="center"/>
      </w:pPr>
      <w:r>
        <w:rPr>
          <w:rFonts w:ascii="SimHei" w:cs="SimHei" w:eastAsia="SimHei" w:hAnsi="SimHei"/>
          <w:b/>
          <w:bCs/>
          <w:i w:val="false"/>
          <w:iCs w:val="false"/>
          <w:strike w:val="false"/>
          <w:color w:val="000000"/>
          <w:sz w:val="28"/>
          <w:szCs w:val="28"/>
        </w:rPr>
        <w:t xml:space="preserve">目录</w:t>
      </w:r>
    </w:p>
    <w:p>
      <w:pPr>
        <w:spacing w:after="100" w:before="0" w:line="312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D0D0D"/>
          <w:sz w:val="24"/>
          <w:szCs w:val="24"/>
        </w:rPr>
        <w:t xml:space="preserve"> TOC \o "1-3" \h \z \u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_Toc1927194804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一、 项目概述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_Toc1927194804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_Toc2014706774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1. 建设背景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_Toc2014706774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_Toc1802088369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2. 建设目标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_Toc1802088369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_Toc1737344142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3.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项目建设必要性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_Toc1737344142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_Toc207846335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4.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核心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投资价值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_Toc207846335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2</w:t>
      </w:r>
    </w:p>
    <w:p>
      <w:pPr>
        <w:spacing w:after="100" w:before="0" w:line="312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_Toc1464942323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二、 需求分析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_Toc1464942323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2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_Toc385609806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1. 业务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场景与核心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需求分析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_Toc385609806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2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_Toc1985846443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2.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现有办公模式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痛点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分析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_Toc1985846443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2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_Toc2077809474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3.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项目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建设原则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_Toc2077809474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3</w:t>
      </w:r>
    </w:p>
    <w:p>
      <w:pPr>
        <w:spacing w:after="100" w:before="0" w:line="312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_Toc1512245651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三、 总体技术方案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_Toc1512245651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3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_Toc843694112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1. 产品定位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与建设边界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_Toc843694112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3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_Toc132419243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2. 一体化交互工作台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设计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_Toc132419243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3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_Toc777158809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3. 端到端公文写作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全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流程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设计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_Toc777158809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4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_Toc712561809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4.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核心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模块划分与需求覆盖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_Toc712561809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5</w:t>
      </w:r>
    </w:p>
    <w:p>
      <w:pPr>
        <w:spacing w:after="100" w:before="0" w:line="312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_Toc1657508191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四、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核心功能模块详细设计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_Toc1657508191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5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_Toc582297253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1. 智能对话与任务理解模块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_Toc582297253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5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_Toc586951792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a) 模块功能定位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_Toc586951792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5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_Toc1506377473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b) 实际操作流程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_Toc1506377473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6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_Toc1001474228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c) 核心能力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_Toc1001474228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6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_Toc1948008457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d) 模块建设价值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_Toc1948008457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6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_Toc1789938284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2. 模板与规范自动装配模块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_Toc1789938284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6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_Toc1541812012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a) 模块功能定位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_Toc1541812012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6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_Toc1696800982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b) 实际操作流程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_Toc1696800982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7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_Toc1698755961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c) 核心能力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_Toc1698755961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7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_Toc196349662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d) 模块建设价值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_Toc196349662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7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_Toc1513887442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3. 大纲生成与正文起草模块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_Toc1513887442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8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_Toc519988038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a) 模块功能定位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_Toc519988038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8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_Toc1327995023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b) 实际操作流程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_Toc1327995023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8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_Toc814808290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c) 核心能力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_Toc814808290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8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_Toc2127196758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d) 模块建设价值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_Toc2127196758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9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_Toc488156450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4. 交互编辑与智能润色模块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_Toc488156450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10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_Toc1057923610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a) 模块功能定位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_Toc1057923610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10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_Toc1504999757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b) 实际操作流程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_Toc1504999757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10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_Toc1468521533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c) 核心能力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_Toc1468521533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10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_Toc411850160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d) 模块建设价值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_Toc411850160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11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_Toc625844839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5. 知识更新与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策略优化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模块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_Toc625844839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11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_Toc199306067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a) 模块功能定位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_Toc199306067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11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_Toc1810062396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b) 实际操作流程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_Toc1810062396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11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_Toc465346170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c) 核心能力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_Toc465346170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11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_Toc2085120463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d) 模块建设价值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_Toc2085120463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12</w:t>
      </w:r>
    </w:p>
    <w:p>
      <w:pPr>
        <w:spacing w:after="100" w:before="0" w:line="312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_Toc1981469895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五、 技术架构与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实现方案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_Toc1981469895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13</w:t>
      </w:r>
    </w:p>
    <w:p>
      <w:pPr>
        <w:spacing w:after="100" w:before="0" w:line="312" w:lineRule="atLeast"/>
        <w:ind w:left="44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_Toc1535611236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1.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总体分层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技术架构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_Toc1535611236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13</w:t>
      </w:r>
    </w:p>
    <w:p>
      <w:pPr>
        <w:spacing w:after="100" w:before="0" w:line="312" w:lineRule="atLeast"/>
        <w:ind w:left="44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_Toc559573806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2. 多 Agent 与 RAG 协同机制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_Toc559573806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13</w:t>
      </w:r>
    </w:p>
    <w:p>
      <w:pPr>
        <w:spacing w:after="100" w:before="0" w:line="312" w:lineRule="atLeast"/>
        <w:ind w:left="44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_Toc926067229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3.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模型选型与适配能力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_Toc926067229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13</w:t>
      </w:r>
    </w:p>
    <w:p>
      <w:pPr>
        <w:spacing w:after="100" w:before="0" w:line="312" w:lineRule="atLeast"/>
        <w:ind w:left="44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_Toc1597927994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4. 可部署与可扩展能力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_Toc1597927994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13</w:t>
      </w:r>
    </w:p>
    <w:p>
      <w:pPr>
        <w:spacing w:after="100" w:before="0" w:line="312" w:lineRule="atLeast"/>
        <w:ind w:left="44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_Toc2092789423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5. 技术可信与可控设计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_Toc2092789423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13</w:t>
      </w:r>
    </w:p>
    <w:p>
      <w:pPr>
        <w:spacing w:after="100" w:before="0" w:line="312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_Toc2024661795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六、 办公生态集成与多端访问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设计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_Toc2024661795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13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_Toc1612401850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1.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系统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接入方式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_Toc1612401850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13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_Toc541751457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2.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现有办公生态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集成范围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_Toc541751457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14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_Toc2033558166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3. 多端使用策略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设计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_Toc2033558166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14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_Toc809853957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4. 推广落地价值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_Toc809853957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14</w:t>
      </w:r>
    </w:p>
    <w:p>
      <w:pPr>
        <w:spacing w:after="100" w:before="0" w:line="312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_Toc464100613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七、 安全与权限管控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_Toc464100613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14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_Toc478396787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1. 身份认证与权限边界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管控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_Toc478396787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14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_Toc236024741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2. 数据安全与保密控制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_Toc236024741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14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_Toc465525978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3. 审计留痕与责任追溯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机制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_Toc465525978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14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_Toc812186225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4. 安全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体系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建设价值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_Toc812186225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14</w:t>
      </w:r>
    </w:p>
    <w:p>
      <w:pPr>
        <w:spacing w:after="100" w:before="0" w:line="312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_Toc1007823243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八、 项目实施计划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_Toc1007823243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15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_Toc1281721212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1. 项目实施组织架构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_Toc1281721212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15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_Toc479947027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2. 实施阶段与里程碑计划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_Toc479947027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15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_Toc521104657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3. 人员配置与职责分工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_Toc521104657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15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_Toc767657733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4.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项目进度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管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控措施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_Toc767657733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15</w:t>
      </w:r>
    </w:p>
    <w:p>
      <w:pPr>
        <w:spacing w:after="100" w:before="0" w:line="312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_Toc2089251002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九、 项目验收标准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_Toc2089251002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15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_Toc536478517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1. 功能验收标准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_Toc536478517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15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_Toc1458085113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2. 性能验收标准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_Toc1458085113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15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_Toc1100598274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3. 文档验收标准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_Toc1100598274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15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_Toc1478539507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4. 最终验收流程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_Toc1478539507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15</w:t>
      </w:r>
    </w:p>
    <w:p>
      <w:pPr>
        <w:spacing w:after="100" w:before="0" w:line="312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_Toc1280214712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十、 投资估算与价值分析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_Toc1280214712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15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_Toc930005291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1. 项目投资估算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_Toc930005291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15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_Toc1212942971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2. 效率价值分析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_Toc1212942971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15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_Toc2017736273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3. 治理价值分析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_Toc2017736273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15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_Toc1179270534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4. 资产与延展价值分析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_Toc1179270534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15</w:t>
      </w:r>
    </w:p>
    <w:p>
      <w:pPr>
        <w:spacing w:after="100" w:before="0" w:line="312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_Toc873286775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十一、 风险管控与保障措施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_Toc873286775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16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_Toc1427583827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1. 项目核心风险识别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_Toc1427583827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16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_Toc1714076105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2. 风险应对措施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_Toc1714076105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16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_Toc2131455877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3. 项目质量保障措施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_Toc2131455877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16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_Toc1204209132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4. 售后服务与运营保障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_Toc1204209132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16</w:t>
      </w:r>
    </w:p>
    <w:p>
      <w:pPr>
        <w:spacing w:after="0" w:before="0" w:line="312" w:lineRule="atLeast"/>
        <w:ind w:firstLine="480"/>
        <w:jc w:val="both"/>
      </w:pPr>
    </w:p>
    <w:p>
      <w:pPr>
        <w:spacing w:after="0" w:before="0" w:line="280" w:lineRule="atLeast"/>
        <w:ind w:firstLine="655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D0D0D"/>
          <w:sz w:val="28"/>
          <w:szCs w:val="28"/>
        </w:rPr>
        <w:t xml:space="preserve">
</w:t>
      </w:r>
    </w:p>
    <w:p>
      <w:pPr>
        <w:pStyle w:val="Heading1"/>
        <w:spacing w:after="0" w:before="0" w:line="312" w:lineRule="atLeast"/>
        <w:ind w:firstLine="655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8"/>
          <w:szCs w:val="28"/>
        </w:rPr>
        <w:t xml:space="preserve">项目概述</w:t>
      </w:r>
    </w:p>
    <w:p>
      <w:pPr>
        <w:pStyle w:val="Heading2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建设背景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政企单位的公文写作属于高频、强规范、强时效的日常办公场景。通知、请示、报告、纪要、方案、讲话材料等文稿，贯穿行政管理、项目推进、会议组织、制度执行和跨部门协同全过程，既关系到办文效率，也直接体现组织治理的规范化水平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当前多数单位的公文起草仍以人工经验为主，普遍存在模板分散、规范难找、资料难整合、起草效率不稳定、修改反复等问题。尤其在时间紧、任务急的场景下，基层人员往往不知道该用什么文种、哪些信息还缺失、应先搭大纲还是直接写正文，导致大量时间耗在前期准备和重复返工上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因此，本项目拟面向政企日常办公，构建基于大模型（LLM）和知识库（RAG）的公文智能辅助起草环境。系统前台采用“左侧 AI 对话 + 右侧富文本编辑”的一体化交互界面，后台由多个 AI Agent 分工协作完成任务理解、资料检索、大纲生成、正文起草和润色优化，形成可落地、可解释、可持续进化的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公文AI辅助写作问答知识库建设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闭环。</w:t>
      </w:r>
    </w:p>
    <w:p>
      <w:pPr>
        <w:pStyle w:val="Heading2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建设目标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本项目的建设目标，不是做一个孤立的聊天机器人，而是建设一套真正服务日常公文写作的工作环境，让用户能够在同一界面内完成对话输入、资料上传、大纲生成、正文编辑和定稿输出。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（1）建设统一的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公文AI辅助写作问答知识库建设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入口，支持任务描述、附件上传、对话追问、生成控制和文稿编辑一体化完成。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（2）建设基于 LLM 与 RAG 的生成能力，确保系统既具备语言生成能力，又能够调用制度、模板、样稿和业务知识作为依据。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（3）建设多 Agent 协同机制，将任务理解、检索、模板装配、大纲生成、正文起草和润色校验分工处理，提升结果稳定性。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（4）建设“单轮直出 + 多轮追问 + 先大纲后正文”的灵活写作流程，适配不同信息完备度下的真实办公使用方式。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（5）建设知识更新和效果运营闭环，把用户确认过的优质成果持续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固化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为组织级知识资产。</w:t>
      </w:r>
    </w:p>
    <w:p>
      <w:pPr>
        <w:pStyle w:val="Heading2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项目建设必要性</w:t>
      </w:r>
    </w:p>
    <w:p>
      <w:pPr>
        <w:spacing w:after="0" w:before="0" w:line="312" w:lineRule="atLeast"/>
        <w:ind w:firstLine="561"/>
        <w:jc w:val="both"/>
      </w:pPr>
    </w:p>
    <w:p>
      <w:pPr>
        <w:pStyle w:val="Heading2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核心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投资价值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从投资价值看，本项目的核心意义不在于替代人工写作，而在于将公文能力建设成组织级基础设施，让标准、经验和知识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固化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为长期可复用的智能能力。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（1）效率价值：把找模板、补信息、列大纲、起初稿和改表达等高频重复动作交给系统处理，显著压缩起草周期。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（2）治理价值：把分散在不同单位和个人经验中的公文规则固化为系统能力，推动公文输出从“靠熟手”走向“靠体系”。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（3）资产价值：将制度、样稿、表达口径、追问逻辑和修改经验持续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固化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，形成越用越强的知识资产。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（4）延展价值：项目跑通后，可平滑扩展到会议纪要、制度问答、汇报材料、讲话稿、合同辅助等更多智能办公场景。</w:t>
      </w:r>
    </w:p>
    <w:p>
      <w:pPr>
        <w:pStyle w:val="Heading1"/>
        <w:spacing w:after="0" w:before="0" w:line="312" w:lineRule="atLeast"/>
        <w:ind w:firstLine="655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8"/>
          <w:szCs w:val="28"/>
        </w:rPr>
        <w:t xml:space="preserve">需求分析</w:t>
      </w:r>
    </w:p>
    <w:p>
      <w:pPr>
        <w:pStyle w:val="Heading2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业务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场景与核心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需求分析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以“起草一份关于召开项目推进会的通知”为例，真实使用过程不是简单输入一句话就结束，而是围绕信息完整度和写作阶段不断切换交互模式。系统必须适配两种典型路径：其一，用户输入信息足够完整，系统可直接走单轮生成；其二，用户输入信息不完整，系统必须通过多轮对话补齐关键要素后再启动生成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（1）用户需要先通过对话快速判断文种是否合适，并明确缺什么信息，而不是先打开空白 Word 再边写边猜。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（2）用户需要根据任务复杂度决定是“直接生成正文”，还是“先生成大纲、确认结构后再生成正文”。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（3）用户需要在同一界面中一边与 AI 交互，一边查看并编辑正文，而不是在聊天窗口和文档之间来回切换。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（4）用户需要系统在生成时自动调用模板、规范、样稿和业务资料，确保内容符合组织口径和版式要求。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（5）用户需要在生成后继续对单段、整篇或大纲结构进行交互式修改，而不是只能重新生成整篇文稿。</w:t>
      </w:r>
    </w:p>
    <w:p>
      <w:pPr>
        <w:pStyle w:val="Heading2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现有办公模式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痛点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分析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（1）写作入口割裂：现有工具往往是“聊天归聊天、文稿归文稿”，人机协同链路不完整。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（2）生成路径单一：只支持一句话出全文，不能根据信息完备度灵活切换单轮生成和多轮追问。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（3）结构控制不足：很多场景更适合先出大纲再写正文，但现有工具缺少大纲确认机制。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（4）知识利用不足：制度、模板、样稿和历史材料未被统一纳入生成链路，导致结果容易脱离组织语境。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（5）后续优化脱节：生成完之后，用户仍需复制到外部文档中自行编辑，效率提升不完整。</w:t>
      </w:r>
    </w:p>
    <w:p>
      <w:pPr>
        <w:pStyle w:val="Heading2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项目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建设原则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（1）围绕真实写作链路建设：按“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对话理解任务—检索资料—生成大纲—起草正文—交互优化—定稿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发布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”设计系统。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（2）围绕统一工作台建设：让 AI 对话和富文本编辑在一个界面中闭环完成，减少工具切换。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（3）围绕 LLM + RAG + Agent 建设：让语言生成、知识调用和流程编排各司其职，而不是混成一个黑盒。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（4）围绕可控性建设：生成依据、模板规则、版本变化和操作日志都需要可查看、可追溯、可治理。</w:t>
      </w:r>
    </w:p>
    <w:p>
      <w:pPr>
        <w:pStyle w:val="Heading1"/>
        <w:spacing w:after="0" w:before="0" w:line="312" w:lineRule="atLeast"/>
        <w:ind w:firstLine="655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8"/>
          <w:szCs w:val="28"/>
        </w:rPr>
        <w:t xml:space="preserve">总体技术方案</w:t>
      </w:r>
    </w:p>
    <w:p>
      <w:pPr>
        <w:pStyle w:val="Heading2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产品定位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与建设边界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平台定位为面向政企日常办公的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公文AI辅助写作问答知识库建设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工作台。它既不是单纯的模板库，也不是单纯的聊天窗口，而是一个将 AI 对话、知识检索、写作生成与富文本编辑统一起来的智能起草环境。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在能力实现上，平台以大模型（LLM）作为语言理解与生成引擎，以知识库检索增强（RAG）作为事实、模板和制度依据底座，并通过多个 AI Agent 进行分工协作，确保系统既能“会写”，又能“按标准写”“按场景写”。</w:t>
      </w:r>
    </w:p>
    <w:p>
      <w:pPr>
        <w:pStyle w:val="Heading2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一体化交互工作台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设计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前端采用“左侧 AI 对话 + 右侧富文本编辑”的一体化交互形态。左侧对话区负责接收任务、发起追问、展示生成过程和承接用户指令；右侧编辑区负责展示大纲、承载正文、接受编辑动作和输出最终文稿，从而形成连续的人机协同闭环。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（1）左侧 AI 对话区：用于录入写作任务、上传资料、触发单轮生成、承接多轮追问，并支持用户继续下达“生成大纲”“生成正文”“重写本段”等指令。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（2）右侧富文本编辑区：用于展示结构化任务摘要、大纲结果和正文内容，并支持在线排版、局部改写、版本留存和定稿导出。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（3）生成控制区：用于切换“直接生成正文”与“先生成大纲后生成正文”等不同模式，满足不同场景下的写作习惯。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（4）结果承接区：用于在正文中直接接收 AI 建议，而不是把结果仅停留在对话框内。</w:t>
      </w:r>
    </w:p>
    <w:p>
      <w:pPr>
        <w:pStyle w:val="Heading2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端到端公文写作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全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流程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设计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系统的端到端流程为：用户在左侧输入任务或上传材料后，输入理解 Agent 先判断文种与信息完备度；若信息完整，则直接进入单轮生成路径，调用检索 Agent、模板规则 Agent 和正文起草 Agent 输出大纲或正文；若信息不足，则由对话 Agent 发起多轮追问，补齐要素后再进入生成链路；生成结果进入右侧编辑区后，用户可继续通过左侧对话发起局部改写、全文润色和结构调整，最终形成定稿并回流知识库。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整体流程如图1所示。平台在前台通过“左侧 AI 对话 + 右侧富文本编辑”统一承接用户操作，在后台通过多 Agent 与 RAG 协同完成从任务理解到知识回流的全过程编排。</w:t>
      </w:r>
    </w:p>
    <w:p>
      <w:pPr>
        <w:spacing w:after="0" w:before="0" w:line="312" w:lineRule="atLeast"/>
        <w:ind w:firstLine="561"/>
        <w:jc w:val="center"/>
      </w:pPr>
      <w:r>
        <w:drawing>
          <wp:inline distT="0" distB="0" distL="0" distR="0">
            <wp:extent cx="5305425" cy="3267075"/>
            <wp:effectExtent t="0" r="0" b="0" l="0"/>
            <wp:docPr id="1" name="Picture 1" descr="Picture 1" titl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 w:line="312" w:lineRule="atLeast"/>
        <w:ind w:firstLine="468"/>
        <w:jc w:val="center"/>
      </w:pPr>
      <w:r>
        <w:rPr>
          <w:rFonts w:ascii="SimHei" w:cs="SimHei" w:eastAsia="SimHei" w:hAnsi="SimHei"/>
          <w:b w:val="false"/>
          <w:bCs w:val="false"/>
          <w:i w:val="false"/>
          <w:iCs w:val="false"/>
          <w:strike w:val="false"/>
          <w:color w:val="000000"/>
          <w:sz w:val="20"/>
          <w:szCs w:val="20"/>
        </w:rPr>
        <w:t xml:space="preserve">图1 端到端公文写作整体流程方案图</w:t>
      </w:r>
    </w:p>
    <w:p>
      <w:pPr>
        <w:pStyle w:val="Heading2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核心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模块划分与需求覆盖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围绕上述真实交互链路，平台能力归并为五个核心模块，分别覆盖“理解任务、套标准、出大纲、写正文、做优化、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固化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知识”的完整过程。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（1）智能对话与任务理解模块：覆盖任务输入、单轮解析、多轮追问、材料上传和要素抽取。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（2）模板与规范自动装配模块：覆盖文种识别、模板匹配、规则套用、单位适配和版式控制。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（3）大纲生成与正文起草模块：覆盖大纲生成、正文生成、RAG 增强、过程解释和结果承接。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（4）交互编辑与智能润色模块：覆盖局部改写、全文润色、结构优化、自检提示和版本留存。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（5）知识更新与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策略优化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模块：覆盖知识回流、策略优化、命中分析和持续进化。</w:t>
      </w:r>
    </w:p>
    <w:p>
      <w:pPr>
        <w:pStyle w:val="Heading1"/>
        <w:spacing w:after="0" w:before="0" w:line="312" w:lineRule="atLeast"/>
        <w:ind w:firstLine="655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8"/>
          <w:szCs w:val="28"/>
        </w:rPr>
        <w:t xml:space="preserve">核心功能模块详细设计</w:t>
      </w:r>
    </w:p>
    <w:p>
      <w:pPr>
        <w:pStyle w:val="Heading2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智能对话与任务理解模块</w:t>
      </w:r>
    </w:p>
    <w:p>
      <w:pPr>
        <w:pStyle w:val="Heading3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模块功能定位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该模块是整个系统的起点，核心任务是通过左侧 AI 对话区把模糊的写作需求转化为可执行的写作任务。它不仅要听懂用户想写什么，还要判断当前信息是否足够直接生成，还是需要继续追问。</w:t>
      </w:r>
    </w:p>
    <w:p>
      <w:pPr>
        <w:spacing w:after="0" w:before="0" w:line="312" w:lineRule="atLeast"/>
        <w:ind w:firstLine="561"/>
        <w:jc w:val="center"/>
      </w:pPr>
      <w:r>
        <w:drawing>
          <wp:inline distT="0" distB="0" distL="0" distR="0">
            <wp:extent cx="5305425" cy="2933700"/>
            <wp:effectExtent t="0" r="0" b="0" l="0"/>
            <wp:docPr id="1" name="Picture 2" descr="Picture 2" titl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 w:line="312" w:lineRule="atLeast"/>
        <w:ind w:firstLine="468"/>
        <w:jc w:val="center"/>
      </w:pPr>
      <w:r>
        <w:rPr>
          <w:rFonts w:ascii="SimHei" w:cs="SimHei" w:eastAsia="SimHei" w:hAnsi="SimHei"/>
          <w:b w:val="false"/>
          <w:bCs w:val="false"/>
          <w:i w:val="false"/>
          <w:iCs w:val="false"/>
          <w:strike w:val="false"/>
          <w:color w:val="000000"/>
          <w:sz w:val="20"/>
          <w:szCs w:val="20"/>
        </w:rPr>
        <w:t xml:space="preserve">图2 智能对话与任务理解模块界面示意</w:t>
      </w:r>
    </w:p>
    <w:p>
      <w:pPr>
        <w:pStyle w:val="Heading3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实际操作流程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（1）用户在左侧输入一句任务描述，例如“请起草一份关于召开项目推进会的通知”，并可同时上传会议安排、领导批示、历史样稿等材料。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（2）输入理解 Agent 先识别文种候选、写作目的和关键对象，并判断当前信息是否足够直接进入单轮生成。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（3）若信息完整，系统直接输出任务摘要卡并允许用户一键进入“生成大纲”或“生成正文”；若信息不足，系统则通过多轮对话追问时间、地点、对象、要求、附件等缺失要素。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（4）当用户确认任务摘要后，右侧编辑区同步承接结构化结果，为后续模板装配和生成做准备。</w:t>
      </w:r>
    </w:p>
    <w:p>
      <w:pPr>
        <w:pStyle w:val="Heading3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核心能力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（1）对话管理 Agent：负责承接用户输入、控制追问节奏和维护上下文状态。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（2）意图识别与要素抽取：识别当前任务属于通知、请示、报告还是纪要，并抽取时间、对象、事项等写作要素。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（3）材料解析能力：支持对上传的来文、会议通知、制度文件和历史样稿进行结构化抽取。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（4）写作前问答能力：在用户不确定文种、标题或结构时，先提供可操作建议，再进入正式起草。</w:t>
      </w:r>
    </w:p>
    <w:p>
      <w:pPr>
        <w:pStyle w:val="Heading3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模块建设价值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该模块把“写之前的判断和准备”做成了系统能力。对用户而言，可以明显降低起草门槛；对项目而言，可以显著提升后续生成链路的输入质量，减少无效生成和反复返工。</w:t>
      </w:r>
    </w:p>
    <w:p>
      <w:pPr>
        <w:spacing w:after="0" w:before="0" w:line="360" w:lineRule="atLeast"/>
        <w:ind w:firstLine="561"/>
        <w:jc w:val="both"/>
      </w:pPr>
    </w:p>
    <w:p>
      <w:pPr>
        <w:spacing w:after="0" w:before="0" w:line="360" w:lineRule="atLeast"/>
        <w:ind w:firstLine="561"/>
        <w:jc w:val="both"/>
      </w:pPr>
    </w:p>
    <w:p>
      <w:pPr>
        <w:spacing w:after="0" w:before="0" w:line="360" w:lineRule="atLeast"/>
        <w:ind w:firstLine="561"/>
        <w:jc w:val="both"/>
      </w:pPr>
    </w:p>
    <w:p>
      <w:pPr>
        <w:spacing w:after="0" w:before="0" w:line="360" w:lineRule="atLeast"/>
        <w:ind w:firstLine="561"/>
        <w:jc w:val="both"/>
      </w:pPr>
    </w:p>
    <w:p>
      <w:pPr>
        <w:pStyle w:val="Heading2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模板与规范自动装配模块</w:t>
      </w:r>
    </w:p>
    <w:p>
      <w:pPr>
        <w:pStyle w:val="Heading3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模块功能定位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该模块负责把“理解了要写什么”进一步转化为“应该按什么标准写”。系统在确认公文类型、所属单位和使用场景后，自动选择对应模板、规范和结构框架，并同步装配到右侧富文本编辑区。</w:t>
      </w:r>
    </w:p>
    <w:p>
      <w:pPr>
        <w:spacing w:after="0" w:before="0" w:line="312" w:lineRule="atLeast"/>
        <w:ind w:firstLine="561"/>
        <w:jc w:val="center"/>
      </w:pPr>
      <w:r>
        <w:drawing>
          <wp:inline distT="0" distB="0" distL="0" distR="0">
            <wp:extent cx="5305425" cy="2905125"/>
            <wp:effectExtent t="0" r="0" b="0" l="0"/>
            <wp:docPr id="1" name="Picture 3" descr="Picture 3" titl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 w:line="312" w:lineRule="atLeast"/>
        <w:ind w:firstLine="468"/>
        <w:jc w:val="center"/>
      </w:pPr>
      <w:r>
        <w:rPr>
          <w:rFonts w:ascii="SimHei" w:cs="SimHei" w:eastAsia="SimHei" w:hAnsi="SimHei"/>
          <w:b w:val="false"/>
          <w:bCs w:val="false"/>
          <w:i w:val="false"/>
          <w:iCs w:val="false"/>
          <w:strike w:val="false"/>
          <w:color w:val="000000"/>
          <w:sz w:val="20"/>
          <w:szCs w:val="20"/>
        </w:rPr>
        <w:t xml:space="preserve">图3 模板与规范自动装配模块界面示意</w:t>
      </w:r>
    </w:p>
    <w:p>
      <w:pPr>
        <w:pStyle w:val="Heading3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实际操作流程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（1）模板规则 Agent 根据任务摘要识别当前任务属于通知、请示、报告、纪要等哪一类文种。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（2）系统结合所属单位、使用场景和发文对象，从模板库和规则库中匹配对应版本。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（3）右侧编辑区自动加载标题结构、主送对象、正文层次、附件说明、落款位置等基础骨架。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（4）如用户需要切换文种或单位口径，系统可重新装配模板并保留已确认的任务要素。</w:t>
      </w:r>
    </w:p>
    <w:p>
      <w:pPr>
        <w:pStyle w:val="Heading3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核心能力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（1）模板资产管理：对高频公文模板进行统一分类、维护和版本控制。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（2）规范规则引擎：将字体字号、结构层次、版式要求、附件说明和落款规则转换为可执行规则。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（3）单位差异化适配：支持不同单位、不同层级和不同发文场景下的规则切换。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（4）模板切换可解释：让用户知道当前用的是哪一套模板、规则来自哪里。</w:t>
      </w:r>
    </w:p>
    <w:p>
      <w:pPr>
        <w:pStyle w:val="Heading3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模块建设价值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该模块把“人工套模板、人工记规范”的工作前移到系统内部完成，使组织标准不再只是文件要求，而是真正成为生成过程中的默认能力。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</w:p>
    <w:p>
      <w:pPr>
        <w:pStyle w:val="Heading2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大纲生成与正文起草模块</w:t>
      </w:r>
    </w:p>
    <w:p>
      <w:pPr>
        <w:pStyle w:val="Heading3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模块功能定位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该模块承担从任务摘要到正式初稿的核心生成工作。它既支持用户在信息完整时直接单轮生成，也支持在信息不完整时先多轮追问，再按“先大纲、后正文”的方式分步完成起草。</w:t>
      </w:r>
    </w:p>
    <w:p>
      <w:pPr>
        <w:spacing w:after="0" w:before="0" w:line="312" w:lineRule="atLeast"/>
        <w:ind w:firstLine="561"/>
        <w:jc w:val="center"/>
      </w:pPr>
      <w:r>
        <w:drawing>
          <wp:inline distT="0" distB="0" distL="0" distR="0">
            <wp:extent cx="5305425" cy="2933700"/>
            <wp:effectExtent t="0" r="0" b="0" l="0"/>
            <wp:docPr id="1" name="Picture 4" descr="Picture 4" titl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 w:line="312" w:lineRule="atLeast"/>
        <w:ind w:firstLine="468"/>
        <w:jc w:val="center"/>
      </w:pPr>
      <w:r>
        <w:rPr>
          <w:rFonts w:ascii="SimHei" w:cs="SimHei" w:eastAsia="SimHei" w:hAnsi="SimHei"/>
          <w:b w:val="false"/>
          <w:bCs w:val="false"/>
          <w:i w:val="false"/>
          <w:iCs w:val="false"/>
          <w:strike w:val="false"/>
          <w:color w:val="000000"/>
          <w:sz w:val="20"/>
          <w:szCs w:val="20"/>
        </w:rPr>
        <w:t xml:space="preserve">图4 大纲生成与正文起草模块界面示意</w:t>
      </w:r>
    </w:p>
    <w:p>
      <w:pPr>
        <w:pStyle w:val="Heading3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实际操作流程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（1）当用户输入信息较完整时，系统可直接走单轮路径，一键生成大纲，或在用户明确授权下直接生成正文初稿。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（2）当用户输入信息较少时，系统先通过多轮对话补齐关键信息，再进入生成链路，避免凭空编写。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（3）若用户选择“先生成大纲”，大纲 Agent 先输出标题、主送对象、正文分节、附件和落款等结构，用户确认后再由正文起草 Agent 分段生成。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（4）正文生成过程中，系统同步调用检索 Agent 和 RAG 知识库，将制度依据、样稿表达和业务材料注入上下文，使生成结果更贴近组织语境。</w:t>
      </w:r>
    </w:p>
    <w:p>
      <w:pPr>
        <w:pStyle w:val="Heading3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核心能力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（1）大纲生成 Agent：负责先行构造文稿结构，解决“先想清楚再动笔”的问题。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（2）正文起草 Agent：在确认结构后生成正式正文，并支持按段承接到右侧编辑区。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（3）检索增强生成：把模板、制度、样稿和上传材料作为生成依据，避免内容脱离事实和口径。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（4）可控生成机制：支持“直接出正文”“补一段背景”“压缩成三点要求”等明确指令。</w:t>
      </w:r>
    </w:p>
    <w:p>
      <w:pPr>
        <w:pStyle w:val="Heading3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模块建设价值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该模块决定项目能否真正带来“写作提速”的第一感知价值。它让用户不再从空白页开始，而是从已理解任务、已确认结构、可继续编辑的初稿开始。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</w:p>
    <w:p>
      <w:pPr>
        <w:pStyle w:val="Heading2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交互编辑与智能润色模块</w:t>
      </w:r>
    </w:p>
    <w:p>
      <w:pPr>
        <w:pStyle w:val="Heading3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模块功能定位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该模块面向“初稿出来以后如何继续完善”的关键环节，核心目标是在右侧富文本编辑区中承接左侧对话指令，让单个用户可以边对话、边修改、边确认结果，而不需要在聊天和文档之间反复切换。</w:t>
      </w:r>
    </w:p>
    <w:p>
      <w:pPr>
        <w:spacing w:after="0" w:before="0" w:line="312" w:lineRule="atLeast"/>
        <w:ind w:firstLine="561"/>
        <w:jc w:val="center"/>
      </w:pPr>
      <w:r>
        <w:drawing>
          <wp:inline distT="0" distB="0" distL="0" distR="0">
            <wp:extent cx="5305425" cy="2914650"/>
            <wp:effectExtent t="0" r="0" b="0" l="0"/>
            <wp:docPr id="1" name="Picture 5" descr="Picture 5" titl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 w:line="312" w:lineRule="atLeast"/>
        <w:ind w:firstLine="468"/>
        <w:jc w:val="center"/>
      </w:pPr>
      <w:r>
        <w:rPr>
          <w:rFonts w:ascii="SimHei" w:cs="SimHei" w:eastAsia="SimHei" w:hAnsi="SimHei"/>
          <w:b w:val="false"/>
          <w:bCs w:val="false"/>
          <w:i w:val="false"/>
          <w:iCs w:val="false"/>
          <w:strike w:val="false"/>
          <w:color w:val="000000"/>
          <w:sz w:val="20"/>
          <w:szCs w:val="20"/>
        </w:rPr>
        <w:t xml:space="preserve">图5 交互编辑与智能润色模块界面示意</w:t>
      </w:r>
    </w:p>
    <w:p>
      <w:pPr>
        <w:pStyle w:val="Heading3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实际操作流程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（1）用户可在左侧直接输入“把第二段改得更正式”“将会议要求压缩为三点”“先润色标题”等指令。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（2）系统读取右侧当前选中文本或当前段落上下文，给出可直接应用到正文中的改写建议。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（3）用户既可以对局部段落反复追问，也可以对全文发起结构优化、自检或正式化表达处理。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（4）所有修改结果都在右侧富文本编辑区中承接，并保留版本留存和回退能力。</w:t>
      </w:r>
    </w:p>
    <w:p>
      <w:pPr>
        <w:pStyle w:val="Heading3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核心能力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（1）上下文感知编辑：AI 建议直接基于当前文稿位置、选区和结构状态产生。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（2）指令式润色与改写：支持润色、改写、扩写、缩写、标题优化、逻辑补全和表达正式化。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（3）全文自检：对格式、结构、逻辑和语言风险进行提示，并给出修改建议。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（4）版本留存与导出：支持查看历史版本、恢复中间结果和导出最终定稿。</w:t>
      </w:r>
    </w:p>
    <w:p>
      <w:pPr>
        <w:pStyle w:val="Heading3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模块建设价值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该模块让平台从“能生成”走向“好用、顺手、可持续使用”。对用户而言，它是最容易形成日常依赖的高频能力；对项目而言，它决定系统能否真正嵌入办公动作本身。</w:t>
      </w:r>
    </w:p>
    <w:p>
      <w:pPr>
        <w:pStyle w:val="Heading2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知识更新与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策略优化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模块</w:t>
      </w:r>
    </w:p>
    <w:p>
      <w:pPr>
        <w:pStyle w:val="Heading3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模块功能定位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该模块负责把一次次真实使用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反馈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为系统进化能力。其核心不是简单存文档，而是把定稿成果、追问过程、生成偏差和修改结果转化为后续知识更新与策略优化的依据。</w:t>
      </w:r>
    </w:p>
    <w:p>
      <w:pPr>
        <w:spacing w:after="0" w:before="0" w:line="312" w:lineRule="atLeast"/>
        <w:ind w:firstLine="561"/>
        <w:jc w:val="center"/>
      </w:pPr>
      <w:r>
        <w:drawing>
          <wp:inline distT="0" distB="0" distL="0" distR="0">
            <wp:extent cx="5305425" cy="2943225"/>
            <wp:effectExtent t="0" r="0" b="0" l="0"/>
            <wp:docPr id="1" name="Picture 6" descr="Picture 6" titl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 w:line="312" w:lineRule="atLeast"/>
        <w:ind w:firstLine="468"/>
        <w:jc w:val="center"/>
      </w:pPr>
      <w:r>
        <w:rPr>
          <w:rFonts w:ascii="SimHei" w:cs="SimHei" w:eastAsia="SimHei" w:hAnsi="SimHei"/>
          <w:b w:val="false"/>
          <w:bCs w:val="false"/>
          <w:i w:val="false"/>
          <w:iCs w:val="false"/>
          <w:strike w:val="false"/>
          <w:color w:val="000000"/>
          <w:sz w:val="20"/>
          <w:szCs w:val="20"/>
        </w:rPr>
        <w:t xml:space="preserve">图6 知识更新与效果运营模块界面示意</w:t>
      </w:r>
    </w:p>
    <w:p>
      <w:pPr>
        <w:pStyle w:val="Heading3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实际操作流程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（1）用户确认定稿后，系统将优质文稿、引用材料和适用场景信息按规则回流知识库。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（2）对话记录中的高频追问、常见补充点和被接受的改写结果，进入优化样本池。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（3）运营人员基于效果数据更新模板、规则、提示词和 Agent 策略，持续提升命中率和生成稳定性。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（4）系统形成运营看板，跟踪不同文种的使用频次、修改类型、知识命中和生成效果。</w:t>
      </w:r>
    </w:p>
    <w:p>
      <w:pPr>
        <w:pStyle w:val="Heading3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核心能力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（1）知识回流机制：让定稿成果和过程数据成为后续知识更新的输入。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（2）策略运营能力：按文种和场景管理提示词、Agent 分工和生成策略。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（3）反馈闭环：把用户追问、改写接受率和常见问题转化为下一轮优化依据。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（4）效果分析：围绕命中率、生成效率、修改轮次和覆盖场景持续评估项目价值。</w:t>
      </w:r>
    </w:p>
    <w:p>
      <w:pPr>
        <w:pStyle w:val="Heading3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模块建设价值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该模块决定项目是“一次性交付工具”，还是“持续生长的智能能力平台”。只有形成知识更新和效果运营闭环，系统才会越用越贴合组织实际。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</w:p>
    <w:p>
      <w:pPr>
        <w:pStyle w:val="Heading1"/>
        <w:spacing w:after="0" w:before="0" w:line="312" w:lineRule="atLeast"/>
        <w:ind w:firstLine="655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8"/>
          <w:szCs w:val="28"/>
        </w:rPr>
        <w:t xml:space="preserve">技术架构与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8"/>
          <w:szCs w:val="28"/>
        </w:rPr>
        <w:t xml:space="preserve">实现方案</w:t>
      </w:r>
    </w:p>
    <w:p>
      <w:pPr>
        <w:pStyle w:val="Heading3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总体分层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技术架构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平台总体采用“应用交互层—Agent 编排层—模型与 RAG 层—知识与规则层”的分层架构。应用交互层以前端“左侧 AI 对话 + 右侧富文本编辑”为统一入口；Agent 编排层负责输入理解、追问决策、检索调度、大纲生成、正文起草和润色优化；模型与 RAG 层负责语言生成与知识调用；知识与规则层统一承载模板、规范、制度、样稿和业务资料。</w:t>
      </w:r>
    </w:p>
    <w:p>
      <w:pPr>
        <w:pStyle w:val="Heading3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多 Agent 与 RAG 协同机制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在系统后台，多个 AI Agent 按照明确职责分工协作：输入理解 Agent 负责识别任务和判断信息完备度；对话 Agent 负责发起和收敛多轮追问；检索 Agent 负责从知识库中获取制度、模板、样稿和资料依据；模板规则 Agent 负责装配版式和结构要求；大纲 Agent 负责生成写作框架；正文起草 Agent 负责输出初稿；润色优化 Agent 负责局部改写与全文优化。大模型承担理解与生成，RAG 提供组织级知识支撑，Agent 编排负责把不同能力串成稳定流程。</w:t>
      </w:r>
    </w:p>
    <w:p>
      <w:pPr>
        <w:pStyle w:val="Heading3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模型选型与适配能力</w:t>
      </w:r>
    </w:p>
    <w:p>
      <w:pPr>
        <w:spacing w:after="0" w:before="0" w:line="360" w:lineRule="atLeast"/>
        <w:ind w:firstLine="561"/>
        <w:jc w:val="both"/>
      </w:pPr>
    </w:p>
    <w:p>
      <w:pPr>
        <w:pStyle w:val="Heading3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可部署与可扩展能力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平台支持根据单位要求选择部署方式，具备私有知识库接入、单位级配置扩展、文种能力扩展和接口能力扩展机制。首期可优先聚焦高频文种与重点单位试点，后续在不推倒重来的情况下扩展更多场景。</w:t>
      </w:r>
    </w:p>
    <w:p>
      <w:pPr>
        <w:pStyle w:val="Heading3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技术可信与可控设计</w:t>
      </w:r>
    </w:p>
    <w:p>
      <w:pPr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平台在关键环节强调可控性：用户输入有结构化承接，模板和规则有版本管理，生成过程有知识依据，编辑动作有版本留存，导出和回流有日志记录。其目标不是追求“会说”，而是追求“能落地、可治理、可持续”。</w:t>
      </w:r>
    </w:p>
    <w:p>
      <w:pPr>
        <w:pStyle w:val="Heading1"/>
        <w:spacing w:after="0" w:before="0" w:line="312" w:lineRule="atLeast"/>
        <w:ind w:firstLine="655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8"/>
          <w:szCs w:val="28"/>
        </w:rPr>
        <w:t xml:space="preserve">办公生态集成与多端访问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8"/>
          <w:szCs w:val="28"/>
        </w:rPr>
        <w:t xml:space="preserve">设计</w:t>
      </w:r>
    </w:p>
    <w:p>
      <w:pPr>
        <w:pStyle w:val="Heading2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系统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接入方式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平台可作为统一入口嵌入现有办公门户，也可独立提供 Web 端和桌面端访问能力。对移动端场景，可保留轻量化任务发起、对话补充和文稿查看能力，把深度编辑仍放在 PC 端完成。</w:t>
      </w:r>
    </w:p>
    <w:p>
      <w:pPr>
        <w:pStyle w:val="Heading2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现有办公生态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集成范围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在集成层面，平台可对接蜀道通、企业微信、IM、OA、档案系统和文档管理系统。对外输出的不只是页面入口，还包括任务发起、知识检索、文稿生成、导出归档和查询回溯等标准化能力接口。</w:t>
      </w:r>
    </w:p>
    <w:p>
      <w:pPr>
        <w:pStyle w:val="Heading2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多端使用策略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设计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PC 端承担复杂起草、结构确认、正文编辑和管理配置；移动端承担任务补充、追问应答和结果查看；桌面端可承载高频办公入口与本地文档协同。通过统一账号与统一任务状态，确保跨端数据一致。</w:t>
      </w:r>
    </w:p>
    <w:p>
      <w:pPr>
        <w:pStyle w:val="Heading2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推广落地价值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多端接入和生态集成的意义，不是简单增加访问入口，而是让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公文AI辅助写作问答知识库建设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真正嵌入现有办公链路，提高平台触达率、使用率和推广成功率。</w:t>
      </w:r>
    </w:p>
    <w:p>
      <w:pPr>
        <w:spacing w:after="0" w:before="0" w:line="312" w:lineRule="atLeast"/>
        <w:ind w:firstLine="561"/>
        <w:jc w:val="both"/>
      </w:pPr>
    </w:p>
    <w:p>
      <w:pPr>
        <w:pStyle w:val="Heading1"/>
        <w:spacing w:after="0" w:before="0" w:line="312" w:lineRule="atLeast"/>
        <w:ind w:firstLine="655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8"/>
          <w:szCs w:val="28"/>
        </w:rPr>
        <w:t xml:space="preserve">安全与权限管控</w:t>
      </w:r>
    </w:p>
    <w:p>
      <w:pPr>
        <w:pStyle w:val="Heading2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身份认证与权限边界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管控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平台建立统一身份认证与角色权限体系，结合单位、部门和对象范围控制可见数据和可执行操作，确保“谁能看、谁能改、谁能导出、谁能回流知识库”边界清晰。</w:t>
      </w:r>
    </w:p>
    <w:p>
      <w:pPr>
        <w:pStyle w:val="Heading2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数据安全与保密控制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针对保密办公环境，平台支持文稿、模板、制度、样稿和对话记录的分级管理。重要内容可按单位、专题或角色进行隔离，对上传材料、生成结果和导出文件进行全流程控制，避免未经授权的扩散使用。</w:t>
      </w:r>
    </w:p>
    <w:p>
      <w:pPr>
        <w:pStyle w:val="Heading2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审计留痕与责任追溯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机制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系统对任务发起、追问补全、模板调用、知识检索、生成输出、人工修改、导出归档和知识回流等关键行为进行留痕，记录操作者、时间、对象、结果和版本变化，满足后续审计、复盘和责任追溯需要。</w:t>
      </w:r>
    </w:p>
    <w:p>
      <w:pPr>
        <w:pStyle w:val="Heading2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安全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体系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建设价值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安全能力不是项目上线后的附加项，而是平台进入正式办公链路的前置条件。只有把认证、授权、隔离、留痕做扎实，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公文AI辅助写作问答知识库建设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平台才能真正服务于政企核心办公场景。</w:t>
      </w:r>
    </w:p>
    <w:p>
      <w:pPr>
        <w:pStyle w:val="Heading1"/>
        <w:spacing w:after="0" w:before="0" w:line="312" w:lineRule="atLeast"/>
        <w:ind w:firstLine="655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8"/>
          <w:szCs w:val="28"/>
        </w:rPr>
        <w:t xml:space="preserve">项目实施计划</w:t>
      </w:r>
    </w:p>
    <w:p>
      <w:pPr>
        <w:pStyle w:val="Heading2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项目实施组织架构</w:t>
      </w:r>
    </w:p>
    <w:p>
      <w:pPr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本项目建议采用“决策统筹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-总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经理办公室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-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专项实施组”的组织架构，在12个月建设周期内以周例会、月评审、阶段里程碑评审的方式推进。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（1）决策统筹层：由业主单位牵头，负责建设目标确认、关键事项决策和跨部门协调。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（2）项目经理办公室：负责范围、进度、成本、质量和风险的日常管理，是项目的统一对口窗口。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（3）业务与知识组：负责公文场景梳理、知识资料准备、模板口径确认和验收标准确认。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（4）产品与技术组：负责一体化工作台、Agent编排、LLM+RAG能力、接口与安全设计落地。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（5）实施与保障组：负责部署联调、试点运行、培训推广、问题闭环和上线支撑。</w:t>
      </w:r>
    </w:p>
    <w:p>
      <w:pPr>
        <w:pStyle w:val="Heading2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实施阶段与里程碑计划</w:t>
      </w:r>
    </w:p>
    <w:p>
      <w:pPr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项目建设周期为12个月，建议分六个阶段推进，并以“方案确认、原型确认、核心能力完成、试点上线、终验交付”作为关键里程碑。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（1）第1-2个月：项目启动与调研，完成需求访谈、场景梳理、资料收集和建设范围确认。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（2）第3-4个月：总体方案与原型设计，完成交互工作台、流程方案、模块边界和技术架构确认。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（3）第5-7个月：核心能力建设，完成对话理解、模板装配、大纲生成、正文起草、润色优化和知识回流能力开发。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（4）第8-9个月：集成与安全建设，完成办公系统对接、权限控制、日志审计、性能调优和联调测试。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（5）第10-11个月：试点运行与优化，完成试点单位上线、知识补齐、问题整改、提示词与策略优化。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（6）第12个月：总结验收与交付，完成正式验收、操作培训、运维交接和成果归档。</w:t>
      </w:r>
    </w:p>
    <w:p>
      <w:pPr>
        <w:pStyle w:val="Heading2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人员配置与职责分工</w:t>
      </w:r>
    </w:p>
    <w:p>
      <w:pPr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项目建议安排12人投入，形成“1名项目经理+1名产品/业务顾问+1名解决方案架构师+2名算法工程师+2名后端工程师+2名前端工程师+1名测试工程师+1名运维安全工程师+2名实施培训顾问”的配置结构。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（1）项目经理：统筹范围、进度、成本与风险，协调内外部资源，组织阶段汇报与验收。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（2）产品/业务顾问与架构师：负责业务流程设计、场景抽象、功能规划、技术路线和交付方案把控。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（3）算法与平台研发人员：负责LLM应用、RAG检索、Agent编排、接口服务、编辑器能力和知识处理模块建设。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（4）测试与运维安全人员：负责测试方案、缺陷管理、性能验证、安全加固和上线保障。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（5）实施培训顾问：负责知识整理、试点辅导、用户培训、使用反馈收集和运营支持。</w:t>
      </w:r>
    </w:p>
    <w:p>
      <w:pPr>
        <w:pStyle w:val="Heading2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项目进度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管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控措施</w:t>
      </w:r>
    </w:p>
    <w:p>
      <w:pPr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项目执行过程中应建立“计划基线、过程跟踪、节点评审、问题闭环”四位一体的进度管控机制。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（1）建立里程碑计划与周月计划双层管理机制，周度跟踪任务完成情况，月度复盘阶段目标达成情况。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（2）对需求、接口、知识准备、安全适配等关键事项建立责任清单和时间清单，避免隐性依赖造成延期。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（3）对原型确认、核心能力联调、试点上线、终验交付等关键节点实施评审机制，未达标不进入下一阶段。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（4）建立项目风险台账和问题工单机制，对阻塞项实行分级预警和升级处理，确保关键问题不过周。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（5）通过演示评审、试点反馈和验收预演等手段，尽早暴露问题、尽早纠偏，保证12个月建设目标可落地。</w:t>
      </w:r>
    </w:p>
    <w:p>
      <w:pPr>
        <w:pStyle w:val="Heading1"/>
        <w:spacing w:after="0" w:before="0" w:line="312" w:lineRule="atLeast"/>
        <w:ind w:firstLine="655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8"/>
          <w:szCs w:val="28"/>
        </w:rPr>
        <w:t xml:space="preserve">项目验收标准</w:t>
      </w:r>
    </w:p>
    <w:p>
      <w:pPr>
        <w:pStyle w:val="Heading2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功能验收标准</w:t>
      </w:r>
    </w:p>
    <w:p>
      <w:pPr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功能验收以合同范围、需求说明和确认原型为依据，要求核心能力完整可用、业务流程闭环可跑通。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（1）应完整支持“左侧AI对话+右侧富文本编辑”工作台，并实现单轮生成、多轮追问、先大纲后正文三类写作路径。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（2）应具备任务理解、模板装配、大纲生成、正文起草、交互润色、知识更新、权限控制和日志留痕等核心能力。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（3）应支持制度/模板/样稿等知识检索增强、附件解析、结果回写、导出归档和基础运营管理能力。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（4）应完成约定范围内的办公生态对接与试点验证，关键业务场景能够按既定流程独立完成。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（5）所有验收功能应通过业务脚本测试和用户场景复核，不存在影响上线的重大缺陷。</w:t>
      </w:r>
    </w:p>
    <w:p>
      <w:pPr>
        <w:pStyle w:val="Heading2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性能验收标准</w:t>
      </w:r>
    </w:p>
    <w:p>
      <w:pPr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性能验收以试点环境和标准测试样本为基础，重点关注响应速度、稳定性和并发支撑能力。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（1）常规对话追问和任务理解响应时间原则上不高于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60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秒，知识检索平均响应时间原则上不高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于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60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秒。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（2）典型公文大纲生成时间原则上不高于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60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秒，1500字左右正文初稿生成时间原则上不高于60秒。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（3）试运行期间平台可用性原则上不低于99.5%，核心功能调用成功率原则上不低于95%。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（4）系统在约定测试负载下应运行稳定，无频繁中断、结果丢失、严重卡顿或不可恢复错误。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（5）安全、审计、权限等控制项应满足试点运行要求，不出现重大安全漏洞和越权风险。</w:t>
      </w:r>
    </w:p>
    <w:p>
      <w:pPr>
        <w:pStyle w:val="Heading2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文档验收标准</w:t>
      </w:r>
    </w:p>
    <w:p>
      <w:pPr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文档验收要求交付资料完整、内容一致、可用于后续运维和推广复制。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（1）应提交需求说明、总体方案、详细设计、接口文档、部署手册、运维手册、用户操作手册和培训材料。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（2）应提交测试报告、试点运行总结、问题整改清单、验收申请材料和最终交付清单。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（3）应提交知识资产目录，包括模板库、制度库、样稿库、口径规则、提示词策略和初始化配置说明。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（4）交付文档内容应与最终上线版本一致，关键配置、接口和流程描述应真实可追溯。</w:t>
      </w:r>
    </w:p>
    <w:p>
      <w:pPr>
        <w:pStyle w:val="Heading2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最终验收流程</w:t>
      </w:r>
    </w:p>
    <w:p>
      <w:pPr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建议采用“自测完成—初验评审—试运行—整改闭环—终验确认”的五步验收流程。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（1）建设方完成内部自测与交付预检后，提交阶段成果和验收申请材料。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（2）双方组织初验评审，核对功能范围、技术实现、文档资料和问题清单，形成初验意见。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（3）进入试运行阶段，对真实业务场景、重点用户和关键流程进行连续验证，收集优化建议。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（4）对试运行期间发现的问题完成整改闭环，并对整改结果进行复核确认。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（5）在功能、性能、文档和试运行结果均达到要求后，组织最终验收并完成成果交接。</w:t>
      </w:r>
    </w:p>
    <w:p>
      <w:pPr>
        <w:pStyle w:val="Heading1"/>
        <w:spacing w:after="0" w:before="0" w:line="312" w:lineRule="atLeast"/>
        <w:ind w:firstLine="655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8"/>
          <w:szCs w:val="28"/>
        </w:rPr>
        <w:t xml:space="preserve">投资估算与价值分析</w:t>
      </w:r>
    </w:p>
    <w:p>
      <w:pPr>
        <w:pStyle w:val="Heading2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项目投资估算</w:t>
      </w:r>
    </w:p>
    <w:p>
      <w:pPr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本项目建议总投资预算控制在200万元，建设周期12个月，按“平台建设+知识治理+实施交付+运维保障”统筹安排资金。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（1）项目管理与需求咨询：20万元，用于需求调研、方案设计、过程管理和阶段汇报。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（2）产品设计与交互原型：18万元，用于工作台原型、流程设计、体验优化和界面规范。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（3）平台研发与接口开发：52万元，用于前后端开发、富文本编辑能力、接口服务和系统集成。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（4）LLM、RAG与Agent能力建设：48万元，用于任务理解、检索增强、生成编排、策略优化和能力调优。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（5）知识整理与数据加工：18万元，用于模板、制度、样稿、业务资料的清洗、标注和初始化导入。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（6）测试、安全与部署适配：16万元，用于测试验证、性能调优、安全加固和环境适配。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（7）实施培训与试点推广：14万元，用于试点上线、用户培训、问题收集和推广支撑。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（8）运维质保与持续优化：14万元，用于上线保障、问题响应、运行巡检和阶段优化。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综上，项目预算与12人团队、12个月交付周期基本匹配，能够支撑项目从建设到试点落地的完整投入。</w:t>
      </w:r>
    </w:p>
    <w:p>
      <w:pPr>
        <w:pStyle w:val="Heading2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效率价值分析</w:t>
      </w:r>
    </w:p>
    <w:p>
      <w:pPr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从效率价值看，项目最直接的收益是把“找资料、套模板、列大纲、起初稿、反复改”这些高频动作系统化。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（1）对于通知、请示、报告、纪要等高频文种，可显著缩短起草准备时间和初稿形成时间，预计整体起草效率提升30%—50%。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（2）通过单轮生成、多轮追问和大纲先行机制，能够减少因信息缺失导致的返工，提高一次成稿率。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（3）通过模板、规则和知识增强的自动调用，能够减少人工查找制度和样稿的时间，占用更少的业务骨干精力。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（4）通过交互式润色与结果回写，用户可以在同一工作台内完成修改与定稿，减少跨系统切换成本。</w:t>
      </w:r>
    </w:p>
    <w:p>
      <w:pPr>
        <w:pStyle w:val="Heading2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治理价值分析</w:t>
      </w:r>
    </w:p>
    <w:p>
      <w:pPr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从治理价值看，项目并非单点提效工具，而是将公文规范、组织经验和业务口径沉淀为可持续复用的治理能力。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（1）把分散在个人经验中的公文写作方法、模板规则和表达口径固化为平台能力，降低对少数熟手的依赖。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（2）把制度、样稿、权限、留痕和导出流程纳入统一平台管理，提升公文生成过程的规范性、可控性和可追溯性。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（3）通过知识回流与效果运营机制，让平台持续吸收优质成果和高频问题，推动组织公文能力逐步标准化。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（4）通过统一入口和多端接入，为后续在更大范围推广智能办公能力提供管理基础。</w:t>
      </w:r>
    </w:p>
    <w:p>
      <w:pPr>
        <w:pStyle w:val="Heading2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资产与延展价值分析</w:t>
      </w:r>
    </w:p>
    <w:p>
      <w:pPr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从资产与延展价值看，本项目建设完成后，不仅形成应用系统，也形成一套可持续增值的数字资产底座。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（1）沉淀形成模板库、制度库、样稿库、表达口径库、提示词策略和业务场景知识，构成组织级知识资产。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（2）形成“LLM+RAG+Agent+规则库”的能力底座，后续可扩展到会议纪要、汇报材料、制度问答、讲话稿、合同辅助等场景。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（3）形成可复制的实施方法、试点经验和运营机制，为后续集团化推广、分子公司复制和横向扩展提供支撑。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（4）相较一次性工具采购，该投入更接近平台型投资，后续复用价值和边际扩展价值更高。</w:t>
      </w:r>
    </w:p>
    <w:p>
      <w:pPr>
        <w:spacing w:after="0" w:before="0" w:line="312" w:lineRule="atLeast"/>
        <w:ind w:firstLine="561"/>
        <w:jc w:val="both"/>
      </w:pPr>
    </w:p>
    <w:p>
      <w:pPr>
        <w:pStyle w:val="Heading1"/>
        <w:spacing w:after="0" w:before="0" w:line="312" w:lineRule="atLeast"/>
        <w:ind w:firstLine="655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8"/>
          <w:szCs w:val="28"/>
        </w:rPr>
        <w:t xml:space="preserve">风险管控与保障措施</w:t>
      </w:r>
    </w:p>
    <w:p>
      <w:pPr>
        <w:pStyle w:val="Heading2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项目核心风险识别</w:t>
      </w:r>
    </w:p>
    <w:p>
      <w:pPr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项目实施过程中，重点关注需求边界、知识准备、模型可控、安全集成和推广应用五类风险。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（1）需求边界风险：项目参与方多、场景复杂，如范围收敛不及时，容易导致建设目标发散。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（2）知识准备风险：模板、制度、样稿和业务资料若不齐全或口径不统一，会直接影响生成质量。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（3）模型可控风险：若缺少规则约束、知识依据和人工确认机制，可能出现内容不准、表达不稳或合规性不足。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（4）集成与安全风险：办公系统对接、权限控制、日志审计和内网部署适配具有一定实施复杂度。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（5）推广应用风险：如果培训不到位、试点场景选择不当或反馈闭环不及时，平台使用深度可能不足。</w:t>
      </w:r>
    </w:p>
    <w:p>
      <w:pPr>
        <w:pStyle w:val="Heading2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风险应对措施</w:t>
      </w:r>
    </w:p>
    <w:p>
      <w:pPr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针对上述风险，建议采用“前置收敛、过程控制、试点验证、分级治理”的应对策略。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（1）对需求边界实行基线管理，明确优先级和阶段范围，重大变更通过评审后再纳入计划。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（2）对知识资料实行清单化准备和责任到人机制，先保高频文种和重点场景，后续再逐步扩展。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（3）对生成结果实行“规则约束+知识引用+人工确认”三重控制，关键内容做到有依据、可解释、可回退。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（4）对接口、安全和部署问题实行专项联调机制，关键节点提前开展联测、压测和安全检查。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（5）对推广应用采用“小范围试点—问题整改—复制推广”的路径，确保先跑通、再放大。</w:t>
      </w:r>
    </w:p>
    <w:p>
      <w:pPr>
        <w:pStyle w:val="Heading2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项目质量保障措施</w:t>
      </w:r>
    </w:p>
    <w:p>
      <w:pPr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项目质量保障应贯穿需求、设计、开发、测试、试运行和验收全过程，形成闭环管理。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（1）建立项目经理负责制和阶段评审机制，对方案、原型、开发成果、测试结果和验收材料逐项把关。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（2）建立需求评审、设计评审、代码评审、测试评审“四级质量关口”，关键成果未经评审不进入下一阶段。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（3）建立缺陷管理和版本管理机制，对问题分级响应、闭环处理，并保留全过程记录。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（4）在试运行阶段组织真实用户场景演练，对高频问题、边界场景和重点流程进行专项复核。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（5）围绕准确性、规范性、稳定性、安全性和可用性设定质量指标，确保交付结果可上线、可推广、可持续运行。</w:t>
      </w:r>
    </w:p>
    <w:p>
      <w:pPr>
        <w:pStyle w:val="Heading2"/>
        <w:spacing w:after="0" w:before="0" w:line="312" w:lineRule="atLeast"/>
        <w:ind w:firstLine="561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售后服务与运营保障</w:t>
      </w:r>
    </w:p>
    <w:p>
      <w:pPr>
        <w:spacing w:after="0" w:before="0" w:line="360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为保证项目建成后能够稳定运行并持续发挥价值，建议同步建立售后服务与运营保障机制。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（1）提供上线初期驻场或远程联合保障，重点支持试点单位使用辅导、问题响应和紧急事项处理。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（2）建立问题响应机制，重大问题及时响应并形成处置方案，常规问题纳入版本迭代和优化清单。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（3）定期开展运行巡检、知识更新、策略优化和使用分析，持续提升命中率、成稿质量和用户体验。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（4）面向管理员和业务用户提供分层培训与复训，确保平台会用、敢用、愿意用。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（5）围绕模板更新、制度变化、重点场景扩展和运营看板建设，持续推动平台从“能上线”走向“能长期用好”。</w:t>
      </w:r>
    </w:p>
    <w:sectPr>
      <w:pgSz w:w="11910" w:h="16845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</w:lvl>
    <w:lvl w:ilvl="1" w15:tentative="1">
      <w:start w:val="1"/>
      <w:numFmt w:val="bullet"/>
      <w:lvlText w:val="•"/>
      <w:lvlJc w:val="start"/>
    </w:lvl>
    <w:lvl w:ilvl="2" w15:tentative="1">
      <w:start w:val="1"/>
      <w:numFmt w:val="bullet"/>
      <w:lvlText w:val="•"/>
      <w:lvlJc w:val="start"/>
    </w:lvl>
    <w:lvl w:ilvl="3" w15:tentative="1">
      <w:start w:val="1"/>
      <w:numFmt w:val="bullet"/>
      <w:lvlText w:val="•"/>
      <w:lvlJc w:val="start"/>
    </w:lvl>
    <w:lvl w:ilvl="4" w15:tentative="1">
      <w:start w:val="1"/>
      <w:numFmt w:val="bullet"/>
      <w:lvlText w:val="•"/>
      <w:lvlJc w:val="start"/>
    </w:lvl>
    <w:lvl w:ilvl="5" w15:tentative="1">
      <w:start w:val="1"/>
      <w:numFmt w:val="bullet"/>
      <w:lvlText w:val="•"/>
      <w:lvlJc w:val="start"/>
    </w:lvl>
    <w:lvl w:ilvl="6" w15:tentative="1">
      <w:start w:val="1"/>
      <w:numFmt w:val="bullet"/>
      <w:lvlText w:val="•"/>
      <w:lvlJc w:val="start"/>
    </w:lvl>
    <w:lvl w:ilvl="7" w15:tentative="1">
      <w:start w:val="1"/>
      <w:numFmt w:val="bullet"/>
      <w:lvlText w:val="•"/>
      <w:lvlJc w:val="start"/>
    </w:lvl>
    <w:lvl w:ilvl="8" w15:tentative="1">
      <w:start w:val="1"/>
      <w:numFmt w:val="bullet"/>
      <w:lvlText w:val="•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decimal"/>
      <w:lvlText w:val="%2."/>
      <w:lvlJc w:val="start"/>
    </w:lvl>
    <w:lvl w:ilvl="2" w15:tentative="1">
      <w:start w:val="1"/>
      <w:numFmt w:val="decimal"/>
      <w:lvlText w:val="%3."/>
      <w:lvlJc w:val="start"/>
    </w:lvl>
    <w:lvl w:ilvl="3" w15:tentative="1">
      <w:start w:val="1"/>
      <w:numFmt w:val="decimal"/>
      <w:lvlText w:val="%4."/>
      <w:lvlJc w:val="start"/>
    </w:lvl>
    <w:lvl w:ilvl="4" w15:tentative="1">
      <w:start w:val="1"/>
      <w:numFmt w:val="decimal"/>
      <w:lvlText w:val="%5."/>
      <w:lvlJc w:val="start"/>
    </w:lvl>
    <w:lvl w:ilvl="5" w15:tentative="1">
      <w:start w:val="1"/>
      <w:numFmt w:val="decimal"/>
      <w:lvlText w:val="%6."/>
      <w:lvlJc w:val="start"/>
    </w:lvl>
    <w:lvl w:ilvl="6" w15:tentative="1">
      <w:start w:val="1"/>
      <w:numFmt w:val="decimal"/>
      <w:lvlText w:val="%7."/>
      <w:lvlJc w:val="start"/>
    </w:lvl>
    <w:lvl w:ilvl="7" w15:tentative="1">
      <w:start w:val="1"/>
      <w:numFmt w:val="decimal"/>
      <w:lvlText w:val="%8."/>
      <w:lvlJc w:val="start"/>
    </w:lvl>
    <w:lvl w:ilvl="8" w15:tentative="1">
      <w:start w:val="1"/>
      <w:numFmt w:val="decimal"/>
      <w:lvlText w:val="%9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12d558e5d54b340c7aa4e5120be059983f939a4.png"/><Relationship Id="rId8" Type="http://schemas.openxmlformats.org/officeDocument/2006/relationships/image" Target="media/2e0c502984f3377628916ba7923c47f41132c0d2.png"/><Relationship Id="rId9" Type="http://schemas.openxmlformats.org/officeDocument/2006/relationships/image" Target="media/3aae37f568f2814ff466b737f6be9ec96090ed2d.png"/><Relationship Id="rId10" Type="http://schemas.openxmlformats.org/officeDocument/2006/relationships/image" Target="media/c11fcdc9132514f7e5e91db559c5c99c90881e8a.png"/><Relationship Id="rId11" Type="http://schemas.openxmlformats.org/officeDocument/2006/relationships/image" Target="media/317d1cdc5e9f6d4f75454eb29264ee8ec857ed9e.png"/><Relationship Id="rId12" Type="http://schemas.openxmlformats.org/officeDocument/2006/relationships/image" Target="media/6b1e344c5535522b74e64a828d16142a8fe18de1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2026-05-14T14:40:01.266Z</dcterms:created>
  <dcterms:modified xsi:type="dcterms:W3CDTF">2026-05-14T14:40:01.267Z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