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B0C9B6" w14:textId="19A8DEEA" w:rsidR="007D0392" w:rsidRDefault="00F77D71">
      <w:hyperlink r:id="rId5" w:history="1">
        <w:r w:rsidRPr="00024164">
          <w:rPr>
            <w:rStyle w:val="Hyperlink"/>
          </w:rPr>
          <w:t>https://yasbe.com/en/venture-capital</w:t>
        </w:r>
      </w:hyperlink>
    </w:p>
    <w:p w14:paraId="0292F012" w14:textId="77777777" w:rsidR="00F77D71" w:rsidRDefault="00F77D71"/>
    <w:p w14:paraId="7AB565E5" w14:textId="77777777" w:rsidR="00C56F25" w:rsidRPr="00C56F25" w:rsidRDefault="00C56F25" w:rsidP="00C56F25">
      <w:pPr>
        <w:rPr>
          <w:b/>
          <w:bCs/>
        </w:rPr>
      </w:pPr>
      <w:r w:rsidRPr="00C56F25">
        <w:rPr>
          <w:b/>
          <w:bCs/>
        </w:rPr>
        <w:t>Smarter Investing Across Digital and Traditional Assets</w:t>
      </w:r>
    </w:p>
    <w:p w14:paraId="1C1301A6" w14:textId="77777777" w:rsidR="00C56F25" w:rsidRPr="00C56F25" w:rsidRDefault="00C56F25" w:rsidP="00C56F25">
      <w:r w:rsidRPr="00C56F25">
        <w:t>Built for VCs and investment funds, YASBe helps you unlock new markets, manage risks, and scale faster by bridging traditional finance with the future of digital assets.</w:t>
      </w:r>
    </w:p>
    <w:p w14:paraId="2032EFBC" w14:textId="55AAE6C7" w:rsidR="00C56F25" w:rsidRPr="00C56F25" w:rsidRDefault="00C56F25" w:rsidP="00C56F25"/>
    <w:p w14:paraId="5D23BC23" w14:textId="18644B25" w:rsidR="00C56F25" w:rsidRDefault="00C56F25" w:rsidP="00C56F25">
      <w:pPr>
        <w:tabs>
          <w:tab w:val="center" w:pos="4990"/>
        </w:tabs>
        <w:rPr>
          <w:b/>
          <w:bCs/>
        </w:rPr>
      </w:pPr>
      <w:r w:rsidRPr="00C56F25">
        <w:rPr>
          <w:b/>
          <w:bCs/>
        </w:rPr>
        <w:t>Challenges for VC &amp; Investment Funds</w:t>
      </w:r>
      <w:r>
        <w:rPr>
          <w:b/>
          <w:bCs/>
        </w:rPr>
        <w:tab/>
      </w:r>
    </w:p>
    <w:p w14:paraId="4D3F30C0" w14:textId="1F0993FC" w:rsidR="00C56F25" w:rsidRPr="00C56F25" w:rsidRDefault="00C56F25" w:rsidP="00C56F25">
      <w:pPr>
        <w:tabs>
          <w:tab w:val="center" w:pos="4990"/>
        </w:tabs>
      </w:pPr>
      <w:r w:rsidRPr="00C56F25">
        <w:t>From liquidity lockups to deal competition, today’s VC and investment firms face mounting pressure to deploy capital wisely and secure long-term returns.</w:t>
      </w:r>
    </w:p>
    <w:p w14:paraId="436A6B38" w14:textId="77777777" w:rsidR="00C56F25" w:rsidRPr="00C56F25" w:rsidRDefault="00C56F25" w:rsidP="00C56F25">
      <w:pPr>
        <w:tabs>
          <w:tab w:val="center" w:pos="4990"/>
        </w:tabs>
        <w:rPr>
          <w:b/>
          <w:bCs/>
        </w:rPr>
      </w:pPr>
    </w:p>
    <w:p w14:paraId="3EF57770" w14:textId="0E6A7766" w:rsidR="00C56F25" w:rsidRDefault="00C56F25" w:rsidP="00C56F25">
      <w:r w:rsidRPr="00C56F25">
        <w:rPr>
          <w:b/>
          <w:bCs/>
        </w:rPr>
        <w:t>Due Diligence &amp; Risk Assessment</w:t>
      </w:r>
      <w:r w:rsidRPr="00C56F25">
        <w:t xml:space="preserve"> </w:t>
      </w:r>
      <w:r>
        <w:br/>
      </w:r>
      <w:r w:rsidRPr="00C56F25">
        <w:t>Identifying high-potential investments while minimizing the risk of failure. Ensuring a thorough vetting process for startups or businesses seeking funding.</w:t>
      </w:r>
    </w:p>
    <w:p w14:paraId="63FDD565" w14:textId="77777777" w:rsidR="00C56F25" w:rsidRPr="00C56F25" w:rsidRDefault="00C56F25" w:rsidP="00C56F25"/>
    <w:p w14:paraId="69F3CCAA" w14:textId="25734758" w:rsidR="00C56F25" w:rsidRDefault="00C56F25" w:rsidP="00C56F25">
      <w:r w:rsidRPr="00C56F25">
        <w:rPr>
          <w:b/>
          <w:bCs/>
        </w:rPr>
        <w:t>Liquidity Constraints</w:t>
      </w:r>
      <w:r w:rsidRPr="00C56F25">
        <w:t xml:space="preserve"> </w:t>
      </w:r>
      <w:r>
        <w:br/>
      </w:r>
      <w:r w:rsidRPr="00C56F25">
        <w:t>VC funds typically require a longer-term commitment to investments (often 5–10 years), making liquidity a challenge for fund managers and investors.</w:t>
      </w:r>
    </w:p>
    <w:p w14:paraId="74D2BBEE" w14:textId="77777777" w:rsidR="00C56F25" w:rsidRPr="00C56F25" w:rsidRDefault="00C56F25" w:rsidP="00C56F25"/>
    <w:p w14:paraId="48FF92D0" w14:textId="5284B2CA" w:rsidR="00C56F25" w:rsidRDefault="00C56F25" w:rsidP="00C56F25">
      <w:r w:rsidRPr="00C56F25">
        <w:rPr>
          <w:b/>
          <w:bCs/>
        </w:rPr>
        <w:t>Competition for Investment Opportunities</w:t>
      </w:r>
      <w:r w:rsidRPr="00C56F25">
        <w:t xml:space="preserve"> </w:t>
      </w:r>
      <w:r>
        <w:br/>
      </w:r>
      <w:r w:rsidRPr="00C56F25">
        <w:t>As more VC firms enter the market, competition for high-quality deals increases, often leading to higher valuations and tighter margins.</w:t>
      </w:r>
    </w:p>
    <w:p w14:paraId="05E4B3E8" w14:textId="77777777" w:rsidR="00C56F25" w:rsidRPr="00C56F25" w:rsidRDefault="00C56F25" w:rsidP="00C56F25"/>
    <w:p w14:paraId="0FB01579" w14:textId="47CBD596" w:rsidR="00C56F25" w:rsidRPr="00C56F25" w:rsidRDefault="00C56F25" w:rsidP="00C56F25">
      <w:r w:rsidRPr="00C56F25">
        <w:rPr>
          <w:b/>
          <w:bCs/>
        </w:rPr>
        <w:t>Exit Strategies</w:t>
      </w:r>
      <w:r w:rsidRPr="00C56F25">
        <w:t xml:space="preserve"> </w:t>
      </w:r>
      <w:r>
        <w:br/>
      </w:r>
      <w:r w:rsidRPr="00C56F25">
        <w:t>Determining the right exit strategy (e.g., IPO, acquisition) and timing to ensure that returns are maximized can be challenging.</w:t>
      </w:r>
    </w:p>
    <w:p w14:paraId="7134899D" w14:textId="31D6899F" w:rsidR="00C56F25" w:rsidRPr="00C56F25" w:rsidRDefault="00C56F25" w:rsidP="00C56F25"/>
    <w:p w14:paraId="079030E4" w14:textId="77777777" w:rsidR="00C56F25" w:rsidRPr="00C56F25" w:rsidRDefault="00C56F25" w:rsidP="00C56F25">
      <w:pPr>
        <w:rPr>
          <w:b/>
          <w:bCs/>
        </w:rPr>
      </w:pPr>
      <w:r w:rsidRPr="00C56F25">
        <w:rPr>
          <w:b/>
          <w:bCs/>
        </w:rPr>
        <w:t>How YASBe Can Help VC &amp; Investment Funds</w:t>
      </w:r>
    </w:p>
    <w:p w14:paraId="41B06130" w14:textId="3C80996D" w:rsidR="00C56F25" w:rsidRPr="00C56F25" w:rsidRDefault="00C56F25" w:rsidP="00C56F25">
      <w:r w:rsidRPr="00C56F25">
        <w:rPr>
          <w:b/>
          <w:bCs/>
        </w:rPr>
        <w:t>1. Seamless Access to Both Digital and Traditional Assets</w:t>
      </w:r>
      <w:r w:rsidRPr="00C56F25">
        <w:t xml:space="preserve"> </w:t>
      </w:r>
      <w:r w:rsidR="00F427B6">
        <w:br/>
      </w:r>
      <w:r w:rsidR="00F427B6">
        <w:br/>
      </w:r>
      <w:r w:rsidRPr="00C56F25">
        <w:t>YASBe's platform offers institutional-grade access to both crypto and traditional assets (e.g., real estate, crypto mining farms, yield-generating funds). This allows VCs and investment funds to create diversified portfolios that span multiple asset classes without the complexities typically involved in managing both.</w:t>
      </w:r>
    </w:p>
    <w:p w14:paraId="222D784F" w14:textId="74E653C8" w:rsidR="00F427B6" w:rsidRDefault="00C56F25" w:rsidP="00F427B6">
      <w:r w:rsidRPr="00C56F25">
        <w:rPr>
          <w:b/>
          <w:bCs/>
        </w:rPr>
        <w:lastRenderedPageBreak/>
        <w:t xml:space="preserve">2. </w:t>
      </w:r>
      <w:r w:rsidR="00F427B6" w:rsidRPr="00F427B6">
        <w:rPr>
          <w:b/>
          <w:bCs/>
        </w:rPr>
        <w:t>Enhanced Liquidity and Access to Portfolio Diversification</w:t>
      </w:r>
      <w:r w:rsidR="00F427B6">
        <w:rPr>
          <w:rFonts w:hint="eastAsia"/>
          <w:b/>
          <w:bCs/>
        </w:rPr>
        <w:t xml:space="preserve"> </w:t>
      </w:r>
      <w:r w:rsidR="00F427B6">
        <w:rPr>
          <w:b/>
          <w:bCs/>
        </w:rPr>
        <w:br/>
      </w:r>
      <w:r w:rsidR="00F427B6">
        <w:rPr>
          <w:b/>
          <w:bCs/>
        </w:rPr>
        <w:br/>
      </w:r>
      <w:r w:rsidR="00F427B6">
        <w:t>VCs often face liquidity constraints in traditional assets, particularly with long investment timelines, while crypto assets can offer more immediate returns but are often volatile. Honeybee provides a liquid infrastructure for both crypto and traditional assets, making it easier for firms to diversify investments across both without sacrificing liquidity or returns.</w:t>
      </w:r>
    </w:p>
    <w:p w14:paraId="1AF4A101" w14:textId="77777777" w:rsidR="00F427B6" w:rsidRDefault="00F427B6" w:rsidP="00F427B6">
      <w:r>
        <w:t>For example: Honeybee’s tailored liquidity solutions allow funds to access smart diversification. By blending stable assets (like stablecoins) with growth assets (like real estate or private equity), funds can hedge crypto volatility while still capturing crypto’s explosive upside.</w:t>
      </w:r>
    </w:p>
    <w:p w14:paraId="3D8F8A2A" w14:textId="77777777" w:rsidR="00F427B6" w:rsidRDefault="00F427B6" w:rsidP="00F427B6"/>
    <w:p w14:paraId="6D385B90" w14:textId="77777777" w:rsidR="00D823C7" w:rsidRDefault="00C56F25" w:rsidP="00D823C7">
      <w:r w:rsidRPr="00C56F25">
        <w:rPr>
          <w:b/>
          <w:bCs/>
        </w:rPr>
        <w:t>3.</w:t>
      </w:r>
      <w:r w:rsidR="0067322B" w:rsidRPr="0067322B">
        <w:t xml:space="preserve"> </w:t>
      </w:r>
      <w:r w:rsidR="0067322B" w:rsidRPr="0067322B">
        <w:rPr>
          <w:b/>
          <w:bCs/>
        </w:rPr>
        <w:t>Support for Disruptive Technologies and the Crypto Ecosystem</w:t>
      </w:r>
      <w:r w:rsidR="0067322B">
        <w:rPr>
          <w:b/>
          <w:bCs/>
        </w:rPr>
        <w:br/>
      </w:r>
      <w:r w:rsidR="0067322B">
        <w:rPr>
          <w:b/>
          <w:bCs/>
        </w:rPr>
        <w:br/>
      </w:r>
      <w:r w:rsidR="00D823C7">
        <w:t>VC and investment funds looking to stay ahead of the curve are increasingly interested in backing disruptive technologies and innovators within the crypto sphere. Honeybee’s active support for disruptive technologies can help VC firms access projects and opportunities that are shaping the future of finance.</w:t>
      </w:r>
    </w:p>
    <w:p w14:paraId="261D9B20" w14:textId="77777777" w:rsidR="00D823C7" w:rsidRDefault="00D823C7" w:rsidP="00D823C7"/>
    <w:p w14:paraId="0FB10F53" w14:textId="58D4DF2F" w:rsidR="00C56F25" w:rsidRDefault="00D823C7" w:rsidP="00D823C7">
      <w:r>
        <w:t>For example: By partnering with creators and innovators, Honeybee gives VCs and investment funds access to investment opportunities in disruptive technologies that are advancing the cryptosphere and digital finance, allowing them to stay on the cutting edge of industry evolution.</w:t>
      </w:r>
    </w:p>
    <w:p w14:paraId="6698D552" w14:textId="77777777" w:rsidR="00D823C7" w:rsidRPr="00C56F25" w:rsidRDefault="00D823C7" w:rsidP="00D823C7"/>
    <w:p w14:paraId="68629DBD" w14:textId="7FB69B64" w:rsidR="00C56F25" w:rsidRPr="00C56F25" w:rsidRDefault="00C56F25" w:rsidP="00C56F25"/>
    <w:p w14:paraId="2A4A3FC4" w14:textId="77777777" w:rsidR="00C56F25" w:rsidRPr="00C56F25" w:rsidRDefault="00C56F25" w:rsidP="00C56F25">
      <w:pPr>
        <w:rPr>
          <w:b/>
          <w:bCs/>
        </w:rPr>
      </w:pPr>
      <w:r w:rsidRPr="00C56F25">
        <w:rPr>
          <w:b/>
          <w:bCs/>
        </w:rPr>
        <w:t>Strategic Vision</w:t>
      </w:r>
    </w:p>
    <w:p w14:paraId="7D7D0F73" w14:textId="77777777" w:rsidR="00C56F25" w:rsidRPr="00C56F25" w:rsidRDefault="00C56F25" w:rsidP="00C56F25">
      <w:r w:rsidRPr="00C56F25">
        <w:t>YASBe's solutions are designed to empower the next generation of investment strategies, giving VCs and investment funds the tools they need to thrive in both the crypto world and traditional finance.</w:t>
      </w:r>
    </w:p>
    <w:p w14:paraId="0994801D" w14:textId="77777777" w:rsidR="00F77D71" w:rsidRDefault="00F77D71"/>
    <w:sectPr w:rsidR="00F77D71" w:rsidSect="00874EE3">
      <w:type w:val="continuous"/>
      <w:pgSz w:w="11920" w:h="16850"/>
      <w:pgMar w:top="1400" w:right="981" w:bottom="1200" w:left="958" w:header="0" w:footer="992" w:gutter="0"/>
      <w:cols w:space="708"/>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997F66"/>
    <w:multiLevelType w:val="multilevel"/>
    <w:tmpl w:val="6D12D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58138C"/>
    <w:multiLevelType w:val="multilevel"/>
    <w:tmpl w:val="2FA40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35319745">
    <w:abstractNumId w:val="0"/>
  </w:num>
  <w:num w:numId="2" w16cid:durableId="141574143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defaultTabStop w:val="720"/>
  <w:drawingGridHorizontalSpacing w:val="110"/>
  <w:drawingGridVerticalSpacing w:val="299"/>
  <w:displayHorizont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7BBD"/>
    <w:rsid w:val="001F7BBD"/>
    <w:rsid w:val="00383AB9"/>
    <w:rsid w:val="0067322B"/>
    <w:rsid w:val="007D0392"/>
    <w:rsid w:val="00874EE3"/>
    <w:rsid w:val="00C56F25"/>
    <w:rsid w:val="00D823C7"/>
    <w:rsid w:val="00EB731B"/>
    <w:rsid w:val="00F427B6"/>
    <w:rsid w:val="00F77D71"/>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7B04DC"/>
  <w15:chartTrackingRefBased/>
  <w15:docId w15:val="{0F51C892-DF8A-4A13-B010-24A457CD5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F7BB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F7BB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F7BB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F7BB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F7BB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F7BB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7BB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7BB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7BB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7BB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F7BB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F7BB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F7BB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F7BB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F7BB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7BB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7BB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7BBD"/>
    <w:rPr>
      <w:rFonts w:eastAsiaTheme="majorEastAsia" w:cstheme="majorBidi"/>
      <w:color w:val="272727" w:themeColor="text1" w:themeTint="D8"/>
    </w:rPr>
  </w:style>
  <w:style w:type="paragraph" w:styleId="Title">
    <w:name w:val="Title"/>
    <w:basedOn w:val="Normal"/>
    <w:next w:val="Normal"/>
    <w:link w:val="TitleChar"/>
    <w:uiPriority w:val="10"/>
    <w:qFormat/>
    <w:rsid w:val="001F7BB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7BB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7BB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7BB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7BBD"/>
    <w:pPr>
      <w:spacing w:before="160"/>
      <w:jc w:val="center"/>
    </w:pPr>
    <w:rPr>
      <w:i/>
      <w:iCs/>
      <w:color w:val="404040" w:themeColor="text1" w:themeTint="BF"/>
    </w:rPr>
  </w:style>
  <w:style w:type="character" w:customStyle="1" w:styleId="QuoteChar">
    <w:name w:val="Quote Char"/>
    <w:basedOn w:val="DefaultParagraphFont"/>
    <w:link w:val="Quote"/>
    <w:uiPriority w:val="29"/>
    <w:rsid w:val="001F7BBD"/>
    <w:rPr>
      <w:i/>
      <w:iCs/>
      <w:color w:val="404040" w:themeColor="text1" w:themeTint="BF"/>
    </w:rPr>
  </w:style>
  <w:style w:type="paragraph" w:styleId="ListParagraph">
    <w:name w:val="List Paragraph"/>
    <w:basedOn w:val="Normal"/>
    <w:uiPriority w:val="34"/>
    <w:qFormat/>
    <w:rsid w:val="001F7BBD"/>
    <w:pPr>
      <w:ind w:left="720"/>
      <w:contextualSpacing/>
    </w:pPr>
  </w:style>
  <w:style w:type="character" w:styleId="IntenseEmphasis">
    <w:name w:val="Intense Emphasis"/>
    <w:basedOn w:val="DefaultParagraphFont"/>
    <w:uiPriority w:val="21"/>
    <w:qFormat/>
    <w:rsid w:val="001F7BBD"/>
    <w:rPr>
      <w:i/>
      <w:iCs/>
      <w:color w:val="0F4761" w:themeColor="accent1" w:themeShade="BF"/>
    </w:rPr>
  </w:style>
  <w:style w:type="paragraph" w:styleId="IntenseQuote">
    <w:name w:val="Intense Quote"/>
    <w:basedOn w:val="Normal"/>
    <w:next w:val="Normal"/>
    <w:link w:val="IntenseQuoteChar"/>
    <w:uiPriority w:val="30"/>
    <w:qFormat/>
    <w:rsid w:val="001F7BB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7BBD"/>
    <w:rPr>
      <w:i/>
      <w:iCs/>
      <w:color w:val="0F4761" w:themeColor="accent1" w:themeShade="BF"/>
    </w:rPr>
  </w:style>
  <w:style w:type="character" w:styleId="IntenseReference">
    <w:name w:val="Intense Reference"/>
    <w:basedOn w:val="DefaultParagraphFont"/>
    <w:uiPriority w:val="32"/>
    <w:qFormat/>
    <w:rsid w:val="001F7BBD"/>
    <w:rPr>
      <w:b/>
      <w:bCs/>
      <w:smallCaps/>
      <w:color w:val="0F4761" w:themeColor="accent1" w:themeShade="BF"/>
      <w:spacing w:val="5"/>
    </w:rPr>
  </w:style>
  <w:style w:type="character" w:styleId="Hyperlink">
    <w:name w:val="Hyperlink"/>
    <w:basedOn w:val="DefaultParagraphFont"/>
    <w:uiPriority w:val="99"/>
    <w:unhideWhenUsed/>
    <w:rsid w:val="00F77D71"/>
    <w:rPr>
      <w:color w:val="467886" w:themeColor="hyperlink"/>
      <w:u w:val="single"/>
    </w:rPr>
  </w:style>
  <w:style w:type="character" w:styleId="UnresolvedMention">
    <w:name w:val="Unresolved Mention"/>
    <w:basedOn w:val="DefaultParagraphFont"/>
    <w:uiPriority w:val="99"/>
    <w:semiHidden/>
    <w:unhideWhenUsed/>
    <w:rsid w:val="00F77D7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yasbe.com/en/venture-capita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2</Pages>
  <Words>86</Words>
  <Characters>3129</Characters>
  <Application>Microsoft Office Word</Application>
  <DocSecurity>0</DocSecurity>
  <Lines>173</Lines>
  <Paragraphs>86</Paragraphs>
  <ScaleCrop>false</ScaleCrop>
  <Company/>
  <LinksUpToDate>false</LinksUpToDate>
  <CharactersWithSpaces>3129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Kate</dc:creator>
  <cp:keywords/>
  <dc:description/>
  <cp:lastModifiedBy>Kate</cp:lastModifiedBy>
  <cp:revision>6</cp:revision>
  <dcterms:created xsi:type="dcterms:W3CDTF">2026-04-29T01:27:00Z</dcterms:created>
  <dcterms:modified xsi:type="dcterms:W3CDTF">2026-04-29T01:33:00Z</dcterms:modified>
</cp:coreProperties>
</file>