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YASBe 用户账号注销流程</w:t>
      </w:r>
    </w:p>
    <w:p>
      <w:bookmarkStart w:id="mojr9pa5lphw7sw67co" w:name="mojr9pa5lphw7sw67co"/>
      <w:pPr>
        <w:pStyle w:val="dingding-heading1"/>
      </w:pPr>
      <w:r>
        <w:t xml:space="preserve">YASBe 用户账号注销流程</w:t>
      </w:r>
      <w:bookmarkEnd w:id="mojr9pa5lphw7sw67co"/>
    </w:p>
    <w:p>
      <w:pPr/>
      <w:r>
        <w:rPr>
          <w:b w:val="1"/>
        </w:rPr>
        <w:t xml:space="preserve">版本</w:t>
      </w:r>
      <w:r>
        <w:t xml:space="preserve">：v1.2</w:t>
        <w:br w:type="textWrapping"/>
      </w:r>
      <w:r>
        <w:rPr>
          <w:b w:val="1"/>
        </w:rPr>
        <w:t xml:space="preserve">日期</w:t>
      </w:r>
      <w:r>
        <w:t xml:space="preserve">：2026-04-29</w:t>
        <w:br w:type="textWrapping"/>
      </w:r>
      <w:r>
        <w:rPr>
          <w:b w:val="1"/>
        </w:rPr>
        <w:t xml:space="preserve">状态</w:t>
      </w:r>
      <w:r>
        <w:t xml:space="preserve">：方案设计阶段（Safeheron / Interlace 尚未接入）</w:t>
      </w:r>
    </w:p>
    <w:p>
      <w:pPr>
        <w:pBdr>
          <w:top w:val="single" w:sz="6" w:space="0" w:color="000000"/>
        </w:pBdr>
      </w:pPr>
    </w:p>
    <w:p>
      <w:bookmarkStart w:id="mojr9pa5pap37kxs40i" w:name="mojr9pa5pap37kxs40i"/>
      <w:pPr>
        <w:pStyle w:val="dingding-heading2"/>
      </w:pPr>
      <w:r>
        <w:t xml:space="preserve">概述</w:t>
      </w:r>
      <w:bookmarkEnd w:id="mojr9pa5pap37kxs40i"/>
    </w:p>
    <w:p>
      <w:pPr/>
      <w:r>
        <w:t xml:space="preserve">用户主动发起账号注销时，YASBe 执行以下操作：</w:t>
      </w:r>
    </w:p>
    <w:p>
      <w:pPr>
        <w:numPr>
          <w:ilvl w:val="0"/>
          <w:numId w:val="1"/>
        </w:numPr>
      </w:pPr>
      <w:r>
        <w:t xml:space="preserve">校验注销资格（无余额、无进行中交易、无争议等）</w:t>
      </w:r>
    </w:p>
    <w:p>
      <w:pPr>
        <w:numPr>
          <w:ilvl w:val="0"/>
          <w:numId w:val="1"/>
        </w:numPr>
      </w:pPr>
      <w:r>
        <w:t xml:space="preserve">清空法币资产（退还至用户银行账户）</w:t>
      </w:r>
    </w:p>
    <w:p>
      <w:pPr>
        <w:numPr>
          <w:ilvl w:val="0"/>
          <w:numId w:val="1"/>
        </w:numPr>
      </w:pPr>
      <w:r>
        <w:t xml:space="preserve">联动关闭外部服务（Safeheron 钱包、Interlace 卡片）</w:t>
      </w:r>
    </w:p>
    <w:p>
      <w:pPr>
        <w:numPr>
          <w:ilvl w:val="0"/>
          <w:numId w:val="1"/>
        </w:numPr>
      </w:pPr>
      <w:r>
        <w:t xml:space="preserve">按银行合规要求处理 KYC/KYB 数据（身份证明文件原件 + 认证审核记录均保留 5 年）</w:t>
      </w:r>
    </w:p>
    <w:p>
      <w:pPr>
        <w:numPr>
          <w:ilvl w:val="0"/>
          <w:numId w:val="1"/>
        </w:numPr>
      </w:pPr>
      <w:r>
        <w:t xml:space="preserve">执行账号软删除，解除第三方绑定</w:t>
      </w:r>
    </w:p>
    <w:p>
      <w:pPr>
        <w:pStyle w:val="dingding_quote"/>
      </w:pPr>
      <w:r>
        <w:rPr>
          <w:b w:val="1"/>
        </w:rPr>
        <w:t xml:space="preserve">关键规则</w:t>
      </w:r>
      <w:r>
        <w:t xml:space="preserve">：注销完成后，YASBe ↔ Safeheron 钱包解除绑定。用户二次注册视为全新账户，不继承旧账户任何数据（余额、交易记录、KYC 状态等）。</w:t>
      </w:r>
    </w:p>
    <w:p>
      <w:pPr>
        <w:pBdr>
          <w:top w:val="single" w:sz="6" w:space="0" w:color="000000"/>
        </w:pBdr>
      </w:pPr>
    </w:p>
    <w:p>
      <w:bookmarkStart w:id="mojr9pa6kkyxd8n15dr" w:name="mojr9pa6kkyxd8n15dr"/>
      <w:pPr>
        <w:pStyle w:val="dingding-heading2"/>
      </w:pPr>
      <w:r>
        <w:t xml:space="preserve">触发条件（资格校验）</w:t>
      </w:r>
      <w:bookmarkEnd w:id="mojr9pa6kkyxd8n15dr"/>
    </w:p>
    <w:tbl>
      <w:tblPr>
        <w:tblStyle w:val="TableGrid"/>
        <w:tblW w:w="0" w:type="auto"/>
      </w:tblPr>
      <w:tblGrid>
        <w:gridCol w:w="3240"/>
        <w:gridCol w:w="3240"/>
        <w:gridCol w:w="3240"/>
      </w:tblGrid>
      <w:tr>
        <w:trPr>
          <w:trHeight w:val="0"/>
        </w:trPr>
        <w:tc>
          <w:tcPr>
            <w:tcW w:w="3240" w:type="dxa"/>
          </w:tcPr>
          <w:p>
            <w:pPr/>
            <w:r>
              <w:t xml:space="preserve">检查项</w:t>
            </w:r>
          </w:p>
        </w:tc>
        <w:tc>
          <w:tcPr>
            <w:tcW w:w="3240" w:type="dxa"/>
          </w:tcPr>
          <w:p>
            <w:pPr/>
            <w:r>
              <w:t xml:space="preserve">说明</w:t>
            </w:r>
          </w:p>
        </w:tc>
        <w:tc>
          <w:tcPr>
            <w:tcW w:w="3240" w:type="dxa"/>
          </w:tcPr>
          <w:p>
            <w:pPr/>
            <w:r>
              <w:t xml:space="preserve">不满足时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/>
            <w:r>
              <w:t xml:space="preserve">无进行中交易</w:t>
            </w:r>
          </w:p>
        </w:tc>
        <w:tc>
          <w:tcPr>
            <w:tcW w:w="3240" w:type="dxa"/>
          </w:tcPr>
          <w:p>
            <w:pPr/>
            <w:r>
              <w:t xml:space="preserve">加密/法币/卡片均无 PENDING 状态</w:t>
            </w:r>
          </w:p>
        </w:tc>
        <w:tc>
          <w:tcPr>
            <w:tcW w:w="3240" w:type="dxa"/>
          </w:tcPr>
          <w:p>
            <w:pPr/>
            <w:r>
              <w:t xml:space="preserve">阻止注销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/>
            <w:r>
              <w:t xml:space="preserve">法币余额 = $0</w:t>
            </w:r>
          </w:p>
        </w:tc>
        <w:tc>
          <w:tcPr>
            <w:tcW w:w="3240" w:type="dxa"/>
          </w:tcPr>
          <w:p>
            <w:pPr/>
            <w:r>
              <w:t xml:space="preserve">USD/EUR/GBP 余额必须清零</w:t>
            </w:r>
          </w:p>
        </w:tc>
        <w:tc>
          <w:tcPr>
            <w:tcW w:w="3240" w:type="dxa"/>
          </w:tcPr>
          <w:p>
            <w:pPr/>
            <w:r>
              <w:t xml:space="preserve">引导用户提现到银行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/>
            <w:r>
              <w:t xml:space="preserve">无未完成 KYC/KYB 审核</w:t>
            </w:r>
          </w:p>
        </w:tc>
        <w:tc>
          <w:tcPr>
            <w:tcW w:w="3240" w:type="dxa"/>
          </w:tcPr>
          <w:p>
            <w:pPr/>
            <w:r>
              <w:t xml:space="preserve">认证需为已通过或已拒绝状态</w:t>
            </w:r>
          </w:p>
        </w:tc>
        <w:tc>
          <w:tcPr>
            <w:tcW w:w="3240" w:type="dxa"/>
          </w:tcPr>
          <w:p>
            <w:pPr/>
            <w:r>
              <w:t xml:space="preserve">阻止注销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/>
            <w:r>
              <w:t xml:space="preserve">无负余额（当前未涉及）</w:t>
            </w:r>
          </w:p>
        </w:tc>
        <w:tc>
          <w:tcPr>
            <w:tcW w:w="3240" w:type="dxa"/>
          </w:tcPr>
          <w:p>
            <w:pPr/>
            <w:r>
              <w:t xml:space="preserve">不能有透支、欠款</w:t>
            </w:r>
          </w:p>
        </w:tc>
        <w:tc>
          <w:tcPr>
            <w:tcW w:w="3240" w:type="dxa"/>
          </w:tcPr>
          <w:p>
            <w:pPr/>
            <w:r>
              <w:t xml:space="preserve">阻止注销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/>
            <w:r>
              <w:t xml:space="preserve">无未完成投诉/争议（当前未涉及）</w:t>
            </w:r>
          </w:p>
        </w:tc>
        <w:tc>
          <w:tcPr>
            <w:tcW w:w="3240" w:type="dxa"/>
          </w:tcPr>
          <w:p>
            <w:pPr/>
            <w:r>
              <w:t xml:space="preserve">所有 dispute 需已关闭</w:t>
            </w:r>
          </w:p>
        </w:tc>
        <w:tc>
          <w:tcPr>
            <w:tcW w:w="3240" w:type="dxa"/>
          </w:tcPr>
          <w:p>
            <w:pPr/>
            <w:r>
              <w:t xml:space="preserve">阻止注销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/>
            <w:r>
              <w:t xml:space="preserve">无待领取奖励/卡券（当前未涉及）</w:t>
            </w:r>
          </w:p>
        </w:tc>
        <w:tc>
          <w:tcPr>
            <w:tcW w:w="3240" w:type="dxa"/>
          </w:tcPr>
          <w:p>
            <w:pPr/>
            <w:r>
              <w:t xml:space="preserve">待使用优惠券、返现等需作废或领取</w:t>
            </w:r>
          </w:p>
        </w:tc>
        <w:tc>
          <w:tcPr>
            <w:tcW w:w="3240" w:type="dxa"/>
          </w:tcPr>
          <w:p>
            <w:pPr/>
            <w:r>
              <w:t xml:space="preserve">引导处理</w:t>
            </w:r>
          </w:p>
        </w:tc>
      </w:tr>
    </w:tbl>
    <w:p>
      <w:pPr>
        <w:pBdr>
          <w:top w:val="single" w:sz="6" w:space="0" w:color="000000"/>
        </w:pBdr>
      </w:pPr>
    </w:p>
    <w:p>
      <w:bookmarkStart w:id="mojr9pa6dkl1gumbhzo" w:name="mojr9pa6dkl1gumbhzo"/>
      <w:pPr>
        <w:pStyle w:val="dingding-heading2"/>
      </w:pPr>
      <w:r>
        <w:t xml:space="preserve">注销流程</w:t>
      </w:r>
      <w:bookmarkEnd w:id="mojr9pa6dkl1gumbhzo"/>
    </w:p>
    <w:p>
      <w:bookmarkStart w:id="mojr9pa6apxc0yqwe9w" w:name="mojr9pa6apxc0yqwe9w"/>
      <w:pPr>
        <w:pStyle w:val="dingding-heading3"/>
      </w:pPr>
      <w:r>
        <w:t xml:space="preserve">阶段一：用户发起</w:t>
      </w:r>
      <w:bookmarkEnd w:id="mojr9pa6apxc0yqwe9w"/>
    </w:p>
    <w:p>
      <w:pPr>
        <w:pStyle w:val="dingding_code"/>
        <w:shd w:val="clear" w:color="auto" w:fill="D0CECE"/>
      </w:pPr>
      <w:r>
        <w:t xml:space="preserve">用户点击「注销账号」</w:t>
        <w:br w:type="textWrapping"/>
        <w:t xml:space="preserve">    ↓</w:t>
        <w:br w:type="textWrapping"/>
        <w:t xml:space="preserve">展示资产总览，引导用户清空</w:t>
        <w:br w:type="textWrapping"/>
        <w:t xml:space="preserve">    ├─ 法币余额：$X USD → 引导提现至银行</w:t>
        <w:br w:type="textWrapping"/>
        <w:t xml:space="preserve">    ├─ Safeheron 钱包余额 → 引导转出</w:t>
        <w:br w:type="textWrapping"/>
        <w:t xml:space="preserve">    └─ Interlace 卡片余额 → 引导消费或转出</w:t>
        <w:br w:type="textWrapping"/>
        <w:t xml:space="preserve">    ↓</w:t>
        <w:br w:type="textWrapping"/>
        <w:t xml:space="preserve">用户勾选确认：「我已了解注销后无法恢复」</w:t>
        <w:br w:type="textWrapping"/>
        <w:t xml:space="preserve">    ↓</w:t>
        <w:br w:type="textWrapping"/>
        <w:t xml:space="preserve">二次身份验证（登录密码 + 邮箱验证码）</w:t>
        <w:br w:type="textWrapping"/>
        <w:t xml:space="preserve">    ↓</w:t>
        <w:br w:type="textWrapping"/>
        <w:t xml:space="preserve">提交注销申请</w:t>
        <w:br w:type="textWrapping"/>
        <w:t xml:space="preserve">    ↓</w:t>
        <w:br w:type="textWrapping"/>
      </w:r>
    </w:p>
    <w:p>
      <w:bookmarkStart w:id="mojr9pa78e3nwmzr1wc" w:name="mojr9pa78e3nwmzr1wc"/>
      <w:pPr>
        <w:pStyle w:val="dingding-heading3"/>
      </w:pPr>
      <w:r>
        <w:t xml:space="preserve">阶段二：法币余额清退</w:t>
      </w:r>
      <w:bookmarkEnd w:id="mojr9pa78e3nwmzr1wc"/>
    </w:p>
    <w:p>
      <w:pPr>
        <w:pStyle w:val="dingding_code"/>
        <w:shd w:val="clear" w:color="auto" w:fill="D0CECE"/>
      </w:pPr>
      <w:r>
        <w:t xml:space="preserve">注销申请提交后触发</w:t>
        <w:br w:type="textWrapping"/>
        <w:t xml:space="preserve">    ↓</w:t>
        <w:br w:type="textWrapping"/>
        <w:t xml:space="preserve">用户已绑定银行账户？</w:t>
        <w:br w:type="textWrapping"/>
        <w:t xml:space="preserve">    ├─ 是：发起银行转账（USD/EUR/GBP）</w:t>
        <w:br w:type="textWrapping"/>
        <w:t xml:space="preserve">    └─ 否：发送邮件引导绑定银行账户（48h 内，否则运营介入）</w:t>
        <w:br w:type="textWrapping"/>
        <w:t xml:space="preserve">    ↓</w:t>
        <w:br w:type="textWrapping"/>
        <w:t xml:space="preserve">等待银行到账（1-3 个工作日）</w:t>
        <w:br w:type="textWrapping"/>
        <w:t xml:space="preserve">    ↓</w:t>
        <w:br w:type="textWrapping"/>
        <w:t xml:space="preserve">法币余额 = $0 → 进入阶段三</w:t>
        <w:br w:type="textWrapping"/>
      </w:r>
    </w:p>
    <w:p>
      <w:bookmarkStart w:id="mojr9pa71sc4q1rsk1o" w:name="mojr9pa71sc4q1rsk1o"/>
      <w:pPr>
        <w:pStyle w:val="dingding-heading3"/>
      </w:pPr>
      <w:r>
        <w:t xml:space="preserve">阶段三：第三方服务注销联动</w:t>
      </w:r>
      <w:bookmarkEnd w:id="mojr9pa71sc4q1rsk1o"/>
    </w:p>
    <w:p>
      <w:pPr>
        <w:pStyle w:val="dingding_quote"/>
      </w:pPr>
      <w:r>
        <w:t xml:space="preserve">⏳ Safeheron / Interlace 接入后补充 API 调用细节。</w:t>
      </w:r>
    </w:p>
    <w:p>
      <w:pPr>
        <w:pStyle w:val="dingding_code"/>
        <w:shd w:val="clear" w:color="auto" w:fill="D0CECE"/>
      </w:pPr>
      <w:r>
        <w:t xml:space="preserve">Safeheron 钱包：</w:t>
        <w:br w:type="textWrapping"/>
        <w:t xml:space="preserve">    ├─ 检查余额 = $0（如 &gt; 0，用户需自行提现到外部钱包）</w:t>
        <w:br w:type="textWrapping"/>
        <w:t xml:space="preserve">    ├─ 调用 Safeheron 账户关闭 API（设置 archived = true）</w:t>
        <w:br w:type="textWrapping"/>
        <w:t xml:space="preserve">    └─ 等待 Webhook 确认 → SafeheronAccountStatus = CLOSED</w:t>
        <w:br w:type="textWrapping"/>
        <w:t xml:space="preserve"/>
        <w:br w:type="textWrapping"/>
        <w:t xml:space="preserve">Interlace 卡片：</w:t>
        <w:br w:type="textWrapping"/>
        <w:t xml:space="preserve">    ├─ 获取用户所有卡片</w:t>
        <w:br w:type="textWrapping"/>
        <w:t xml:space="preserve">    ├─ 逐卡确认余额 = $0（如 &gt; 0，见「卡片余额死锁处理」）</w:t>
        <w:br w:type="textWrapping"/>
        <w:t xml:space="preserve">    ├─ 调用冻结并关闭卡片</w:t>
        <w:br w:type="textWrapping"/>
        <w:t xml:space="preserve">    └─ 等待 Webhook 确认 → CardStatus = CLOSED</w:t>
        <w:br w:type="textWrapping"/>
        <w:t xml:space="preserve"/>
        <w:br w:type="textWrapping"/>
        <w:t xml:space="preserve">所有第三方服务关闭完成 → 进入阶段四</w:t>
        <w:br w:type="textWrapping"/>
      </w:r>
    </w:p>
    <w:p>
      <w:bookmarkStart w:id="mojr9pa7v9wif146wul" w:name="mojr9pa7v9wif146wul"/>
      <w:pPr>
        <w:pStyle w:val="dingding-heading3"/>
      </w:pPr>
      <w:r>
        <w:t xml:space="preserve">阶段四：KYC / KYB 数据处理</w:t>
      </w:r>
      <w:bookmarkEnd w:id="mojr9pa7v9wif146wul"/>
    </w:p>
    <w:p>
      <w:pPr>
        <w:pStyle w:val="dingding_quote"/>
      </w:pPr>
      <w:r>
        <w:t xml:space="preserve">⚠️ </w:t>
      </w:r>
      <w:r>
        <w:rPr>
          <w:b w:val="1"/>
        </w:rPr>
        <w:t xml:space="preserve">银行合规要求：KYC/KYB 全套材料（含身份证明文件原件 + 认证审核记录）不得在注销时删除，必须保留 5 年。业务场景</w:t>
      </w:r>
      <w:r>
        <w:t xml:space="preserve">：银行调单（Chargeback 调查）时，银行会要求 YASBe 提供客户的全套 KYC 材料，包括身份证明文件原件（扫描件/照片）。如删除原件，将无法响应银行合规要求。</w:t>
      </w:r>
    </w:p>
    <w:p>
      <w:bookmarkStart w:id="mojr9pa7hjjp6gbcmk" w:name="mojr9pa7hjjp6gbcmk"/>
      <w:pPr>
        <w:pStyle w:val="dingding-heading4"/>
      </w:pPr>
      <w:r>
        <w:t xml:space="preserve">4.1 数据分类处理</w:t>
      </w:r>
      <w:bookmarkEnd w:id="mojr9pa7hjjp6gbcmk"/>
    </w:p>
    <w:tbl>
      <w:tblPr>
        <w:tblStyle w:val="TableGrid"/>
        <w:tblW w:w="0" w:type="auto"/>
      </w:tblPr>
      <w:tblGrid>
        <w:gridCol w:w="2430"/>
        <w:gridCol w:w="2430"/>
        <w:gridCol w:w="2430"/>
        <w:gridCol w:w="2430"/>
      </w:tblGrid>
      <w:tr>
        <w:trPr>
          <w:trHeight w:val="0"/>
        </w:trPr>
        <w:tc>
          <w:tcPr>
            <w:tcW w:w="2430" w:type="dxa"/>
          </w:tcPr>
          <w:p>
            <w:pPr/>
            <w:r>
              <w:t xml:space="preserve">数据类型</w:t>
            </w:r>
          </w:p>
        </w:tc>
        <w:tc>
          <w:tcPr>
            <w:tcW w:w="2430" w:type="dxa"/>
          </w:tcPr>
          <w:p>
            <w:pPr/>
            <w:r>
              <w:t xml:space="preserve">具体内容</w:t>
            </w:r>
          </w:p>
        </w:tc>
        <w:tc>
          <w:tcPr>
            <w:tcW w:w="2430" w:type="dxa"/>
          </w:tcPr>
          <w:p>
            <w:pPr/>
            <w:r>
              <w:t xml:space="preserve">处理方式</w:t>
            </w:r>
          </w:p>
        </w:tc>
        <w:tc>
          <w:tcPr>
            <w:tcW w:w="2430" w:type="dxa"/>
          </w:tcPr>
          <w:p>
            <w:pPr/>
            <w:r>
              <w:t xml:space="preserve">保留期限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>
              <w:rPr>
                <w:b w:val="1"/>
              </w:rPr>
              <w:t xml:space="preserve">身份证明文件原件</w:t>
            </w:r>
          </w:p>
        </w:tc>
        <w:tc>
          <w:tcPr>
            <w:tcW w:w="2430" w:type="dxa"/>
          </w:tcPr>
          <w:p>
            <w:pPr/>
            <w:r>
              <w:t xml:space="preserve">身份证/护照扫描件、照片</w:t>
            </w:r>
          </w:p>
        </w:tc>
        <w:tc>
          <w:tcPr>
            <w:tcW w:w="2430" w:type="dxa"/>
          </w:tcPr>
          <w:p>
            <w:pPr/>
            <w:r>
              <w:rPr>
                <w:b w:val="1"/>
              </w:rPr>
              <w:t xml:space="preserve">保留</w:t>
            </w:r>
            <w:r>
              <w:t xml:space="preserve">（加密存储，仅合规/法务可访问）</w:t>
            </w:r>
          </w:p>
        </w:tc>
        <w:tc>
          <w:tcPr>
            <w:tcW w:w="2430" w:type="dxa"/>
          </w:tcPr>
          <w:p>
            <w:pPr/>
            <w:r>
              <w:rPr>
                <w:b w:val="1"/>
              </w:rPr>
              <w:t xml:space="preserve">5 年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>
              <w:rPr>
                <w:b w:val="1"/>
              </w:rPr>
              <w:t xml:space="preserve">KYC 认证审核记录</w:t>
            </w:r>
          </w:p>
        </w:tc>
        <w:tc>
          <w:tcPr>
            <w:tcW w:w="2430" w:type="dxa"/>
          </w:tcPr>
          <w:p>
            <w:pPr/>
            <w:r>
              <w:t xml:space="preserve">审核结果、时间、方式、机构等</w:t>
            </w:r>
          </w:p>
        </w:tc>
        <w:tc>
          <w:tcPr>
            <w:tcW w:w="2430" w:type="dxa"/>
          </w:tcPr>
          <w:p>
            <w:pPr/>
            <w:r>
              <w:rPr>
                <w:b w:val="1"/>
              </w:rPr>
              <w:t xml:space="preserve">匿名化</w:t>
            </w:r>
            <w:r>
              <w:t xml:space="preserve">后保留</w:t>
            </w:r>
          </w:p>
        </w:tc>
        <w:tc>
          <w:tcPr>
            <w:tcW w:w="2430" w:type="dxa"/>
          </w:tcPr>
          <w:p>
            <w:pPr/>
            <w:r>
              <w:rPr>
                <w:b w:val="1"/>
              </w:rPr>
              <w:t xml:space="preserve">5 年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>
              <w:rPr>
                <w:b w:val="1"/>
              </w:rPr>
              <w:t xml:space="preserve">KYB 认证审核记录</w:t>
            </w:r>
          </w:p>
        </w:tc>
        <w:tc>
          <w:tcPr>
            <w:tcW w:w="2430" w:type="dxa"/>
          </w:tcPr>
          <w:p>
            <w:pPr/>
            <w:r>
              <w:t xml:space="preserve">企业认证审核结果、时间、机构等</w:t>
            </w:r>
          </w:p>
        </w:tc>
        <w:tc>
          <w:tcPr>
            <w:tcW w:w="2430" w:type="dxa"/>
          </w:tcPr>
          <w:p>
            <w:pPr/>
            <w:r>
              <w:rPr>
                <w:b w:val="1"/>
              </w:rPr>
              <w:t xml:space="preserve">匿名化</w:t>
            </w:r>
            <w:r>
              <w:t xml:space="preserve">后保留</w:t>
            </w:r>
          </w:p>
        </w:tc>
        <w:tc>
          <w:tcPr>
            <w:tcW w:w="2430" w:type="dxa"/>
          </w:tcPr>
          <w:p>
            <w:pPr/>
            <w:r>
              <w:rPr>
                <w:b w:val="1"/>
              </w:rPr>
              <w:t xml:space="preserve">5 年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>
              <w:t xml:space="preserve">交易记录</w:t>
            </w:r>
          </w:p>
        </w:tc>
        <w:tc>
          <w:tcPr>
            <w:tcW w:w="2430" w:type="dxa"/>
          </w:tcPr>
          <w:p>
            <w:pPr/>
            <w:r>
              <w:t xml:space="preserve">金额、时间、币种</w:t>
            </w:r>
          </w:p>
        </w:tc>
        <w:tc>
          <w:tcPr>
            <w:tcW w:w="2430" w:type="dxa"/>
          </w:tcPr>
          <w:p>
            <w:pPr/>
            <w:r>
              <w:rPr>
                <w:b w:val="1"/>
              </w:rPr>
              <w:t xml:space="preserve">匿名化</w:t>
            </w:r>
            <w:r>
              <w:t xml:space="preserve">后保留</w:t>
            </w:r>
          </w:p>
        </w:tc>
        <w:tc>
          <w:tcPr>
            <w:tcW w:w="2430" w:type="dxa"/>
          </w:tcPr>
          <w:p>
            <w:pPr/>
            <w:r>
              <w:t xml:space="preserve">5 年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>
              <w:t xml:space="preserve">账户登录日志</w:t>
            </w:r>
          </w:p>
        </w:tc>
        <w:tc>
          <w:tcPr>
            <w:tcW w:w="2430" w:type="dxa"/>
          </w:tcPr>
          <w:p>
            <w:pPr/>
            <w:r>
              <w:t xml:space="preserve">登录时间、IP、设备</w:t>
            </w:r>
          </w:p>
        </w:tc>
        <w:tc>
          <w:tcPr>
            <w:tcW w:w="2430" w:type="dxa"/>
          </w:tcPr>
          <w:p>
            <w:pPr/>
            <w:r>
              <w:t xml:space="preserve">脱敏后保留</w:t>
            </w:r>
          </w:p>
        </w:tc>
        <w:tc>
          <w:tcPr>
            <w:tcW w:w="2430" w:type="dxa"/>
          </w:tcPr>
          <w:p>
            <w:pPr/>
            <w:r>
              <w:t xml:space="preserve">2 年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>
              <w:t xml:space="preserve">银行卡/支付信息</w:t>
            </w:r>
          </w:p>
        </w:tc>
        <w:tc>
          <w:tcPr>
            <w:tcW w:w="2430" w:type="dxa"/>
          </w:tcPr>
          <w:p>
            <w:pPr/>
            <w:r>
              <w:t xml:space="preserve">卡号、账户信息</w:t>
            </w:r>
          </w:p>
        </w:tc>
        <w:tc>
          <w:tcPr>
            <w:tcW w:w="2430" w:type="dxa"/>
          </w:tcPr>
          <w:p>
            <w:pPr/>
            <w:r>
              <w:rPr>
                <w:b w:val="1"/>
              </w:rPr>
              <w:t xml:space="preserve">保留</w:t>
            </w:r>
            <w:r>
              <w:t xml:space="preserve">（加密存储，仅合规/法务可访问</w:t>
            </w:r>
          </w:p>
        </w:tc>
        <w:tc>
          <w:tcPr>
            <w:tcW w:w="2430" w:type="dxa"/>
            <w:vAlign w:val="top"/>
          </w:tcPr>
          <w:p>
            <w:pPr/>
            <w:r>
              <w:rPr>
                <w:b w:val="1"/>
              </w:rPr>
              <w:t xml:space="preserve">5 年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>
              <w:t xml:space="preserve">手机号/邮箱</w:t>
            </w:r>
          </w:p>
        </w:tc>
        <w:tc>
          <w:tcPr>
            <w:tcW w:w="2430" w:type="dxa"/>
          </w:tcPr>
          <w:p>
            <w:pPr/>
            <w:r>
              <w:t xml:space="preserve">联系信息</w:t>
            </w:r>
          </w:p>
        </w:tc>
        <w:tc>
          <w:tcPr>
            <w:tcW w:w="2430" w:type="dxa"/>
          </w:tcPr>
          <w:p>
            <w:pPr/>
            <w:r>
              <w:rPr>
                <w:b w:val="1"/>
              </w:rPr>
              <w:t xml:space="preserve">保留</w:t>
            </w:r>
            <w:r>
              <w:t xml:space="preserve">（加密存储，仅合规/法务可访问</w:t>
            </w:r>
          </w:p>
        </w:tc>
        <w:tc>
          <w:tcPr>
            <w:tcW w:w="2430" w:type="dxa"/>
            <w:vAlign w:val="top"/>
          </w:tcPr>
          <w:p>
            <w:pPr/>
            <w:r>
              <w:rPr>
                <w:b w:val="1"/>
              </w:rPr>
              <w:t xml:space="preserve">5 年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>
              <w:t xml:space="preserve">头像/昵称</w:t>
            </w:r>
          </w:p>
        </w:tc>
        <w:tc>
          <w:tcPr>
            <w:tcW w:w="2430" w:type="dxa"/>
          </w:tcPr>
          <w:p>
            <w:pPr/>
            <w:r>
              <w:t xml:space="preserve">用户个人资料</w:t>
            </w:r>
          </w:p>
        </w:tc>
        <w:tc>
          <w:tcPr>
            <w:tcW w:w="2430" w:type="dxa"/>
          </w:tcPr>
          <w:p>
            <w:pPr/>
            <w:r>
              <w:rPr>
                <w:b w:val="1"/>
              </w:rPr>
              <w:t xml:space="preserve">保留</w:t>
            </w:r>
            <w:r>
              <w:t xml:space="preserve">（加密存储，仅合规/法务可访问</w:t>
            </w:r>
          </w:p>
        </w:tc>
        <w:tc>
          <w:tcPr>
            <w:tcW w:w="2430" w:type="dxa"/>
            <w:vAlign w:val="top"/>
          </w:tcPr>
          <w:p>
            <w:pPr/>
            <w:r>
              <w:rPr>
                <w:b w:val="1"/>
              </w:rPr>
              <w:t xml:space="preserve">5 年</w:t>
            </w:r>
          </w:p>
        </w:tc>
      </w:tr>
    </w:tbl>
    <w:p>
      <w:pPr>
        <w:pStyle w:val="dingding_quote"/>
      </w:pPr>
      <w:r>
        <w:rPr>
          <w:b w:val="1"/>
        </w:rPr>
        <w:t xml:space="preserve">说明</w:t>
      </w:r>
      <w:r>
        <w:t xml:space="preserve">：身份证明文件原件保留用于银行调单等合规场景；认证审核记录匿名化后保留用于反洗钱监测和合规审计。两者保留目的不同，但保留期限相同（5 年）。</w:t>
      </w:r>
    </w:p>
    <w:p>
      <w:bookmarkStart w:id="mojr9pab7lysf9dclfq" w:name="mojr9pab7lysf9dclfq"/>
      <w:pPr>
        <w:pStyle w:val="dingding-heading4"/>
      </w:pPr>
      <w:r>
        <w:t xml:space="preserve">4.2 匿名化实现</w:t>
      </w:r>
      <w:bookmarkEnd w:id="mojr9pab7lysf9dclfq"/>
    </w:p>
    <w:p>
      <w:pPr>
        <w:numPr>
          <w:ilvl w:val="0"/>
          <w:numId w:val="2"/>
        </w:numPr>
      </w:pPr>
      <w:r>
        <w:rPr>
          <w:b w:val="1"/>
        </w:rPr>
        <w:t xml:space="preserve">身份证明文件原件管理</w:t>
      </w:r>
      <w:r>
        <w:t xml:space="preserve">：</w:t>
        <w:br w:type="textWrapping"/>
      </w:r>
    </w:p>
    <w:p>
      <w:pPr>
        <w:numPr>
          <w:ilvl w:val="1"/>
          <w:numId w:val="2"/>
        </w:numPr>
      </w:pPr>
      <w:r>
        <w:t xml:space="preserve">加密存储至独立的合规文件库，与主库物理隔离</w:t>
      </w:r>
    </w:p>
    <w:p>
      <w:pPr>
        <w:numPr>
          <w:ilvl w:val="1"/>
          <w:numId w:val="2"/>
        </w:numPr>
      </w:pPr>
      <w:r>
        <w:t xml:space="preserve">仅合规/法务团队可访问（IP 白名单 + 双因素认证 + 审批流程）</w:t>
      </w:r>
    </w:p>
    <w:p>
      <w:pPr>
        <w:numPr>
          <w:ilvl w:val="1"/>
          <w:numId w:val="2"/>
        </w:numPr>
      </w:pPr>
      <w:r>
        <w:t xml:space="preserve">每次访问必须记录审计日志（访问人、时间、目的、银行调单单号）</w:t>
      </w:r>
    </w:p>
    <w:p>
      <w:pPr>
        <w:numPr>
          <w:ilvl w:val="1"/>
          <w:numId w:val="2"/>
        </w:numPr>
      </w:pPr>
      <w:r>
        <w:t xml:space="preserve">5 年期满后安全销毁（3 次覆写 + 对象存储永久删除）</w:t>
      </w:r>
    </w:p>
    <w:p>
      <w:pPr>
        <w:numPr>
          <w:ilvl w:val="0"/>
          <w:numId w:val="2"/>
        </w:numPr>
      </w:pPr>
      <w:r>
        <w:rPr>
          <w:b w:val="1"/>
        </w:rPr>
        <w:t xml:space="preserve">认证记录字段脱敏</w:t>
      </w:r>
      <w:r>
        <w:t xml:space="preserve">：姓名、证件号等可识别字段使用 SHA-256 哈希，不存储盐值，无法逆向还原</w:t>
      </w:r>
    </w:p>
    <w:p>
      <w:pPr>
        <w:numPr>
          <w:ilvl w:val="0"/>
          <w:numId w:val="2"/>
        </w:numPr>
      </w:pPr>
      <w:r>
        <w:rPr>
          <w:b w:val="1"/>
        </w:rPr>
        <w:t xml:space="preserve">切断关联</w:t>
      </w:r>
      <w:r>
        <w:t xml:space="preserve">：移除 user_id 与匿名数据的关联，存入独立合规数据库，与主库物理隔离</w:t>
      </w:r>
    </w:p>
    <w:p>
      <w:pPr>
        <w:numPr>
          <w:ilvl w:val="0"/>
          <w:numId w:val="2"/>
        </w:numPr>
      </w:pPr>
      <w:r>
        <w:rPr>
          <w:b w:val="1"/>
        </w:rPr>
        <w:t xml:space="preserve">数据隔离</w:t>
      </w:r>
      <w:r>
        <w:t xml:space="preserve">：合规数据库仅合规团队可访问（IP 白名单 + 双因素认证），所有查询记录审计日志</w:t>
      </w:r>
    </w:p>
    <w:p>
      <w:pPr>
        <w:numPr>
          <w:ilvl w:val="0"/>
          <w:numId w:val="2"/>
        </w:numPr>
      </w:pPr>
      <w:r>
        <w:rPr>
          <w:b w:val="1"/>
        </w:rPr>
        <w:t xml:space="preserve">验证标准</w:t>
      </w:r>
      <w:r>
        <w:t xml:space="preserve">：独立审计机构每年验证匿名化有效性；保留数据仅用于聚合统计和合规报告</w:t>
      </w:r>
    </w:p>
    <w:p>
      <w:bookmarkStart w:id="mojr9paeszdx79w9lpg" w:name="mojr9paeszdx79w9lpg"/>
      <w:pPr>
        <w:pStyle w:val="dingding-heading4"/>
      </w:pPr>
      <w:r>
        <w:t xml:space="preserve">4.4 5 年保留期</w:t>
      </w:r>
      <w:bookmarkEnd w:id="mojr9paeszdx79w9lpg"/>
    </w:p>
    <w:p>
      <w:pPr/>
      <w:r>
        <w:rPr>
          <w:b w:val="1"/>
        </w:rPr>
        <w:t xml:space="preserve">起算</w:t>
      </w:r>
      <w:r>
        <w:t xml:space="preserve">：从账户注销之日起算</w:t>
        <w:br w:type="textWrapping"/>
      </w:r>
      <w:r>
        <w:rPr>
          <w:b w:val="1"/>
        </w:rPr>
        <w:t xml:space="preserve">示例</w:t>
      </w:r>
      <w:r>
        <w:t xml:space="preserve">：2026-04-29 注销 → 保留至 </w:t>
      </w:r>
      <w:r>
        <w:rPr>
          <w:b w:val="1"/>
        </w:rPr>
        <w:t xml:space="preserve">2031-04-28</w:t>
      </w:r>
      <w:r>
        <w:t xml:space="preserve">（含）</w:t>
      </w:r>
    </w:p>
    <w:p>
      <w:pPr/>
      <w:r>
        <w:rPr>
          <w:b w:val="1"/>
        </w:rPr>
        <w:t xml:space="preserve">期满处理</w:t>
      </w:r>
      <w:r>
        <w:t xml:space="preserve">：</w:t>
      </w:r>
    </w:p>
    <w:p>
      <w:pPr>
        <w:numPr>
          <w:ilvl w:val="0"/>
          <w:numId w:val="3"/>
        </w:numPr>
      </w:pPr>
      <w:r>
        <w:t xml:space="preserve">身份证明文件原件：安全销毁（3 次覆写 + 对象存储永久删除）</w:t>
      </w:r>
    </w:p>
    <w:p>
      <w:pPr>
        <w:numPr>
          <w:ilvl w:val="0"/>
          <w:numId w:val="3"/>
        </w:numPr>
      </w:pPr>
      <w:r>
        <w:t xml:space="preserve">匿名化认证记录：数据库 DELETE + 表空间覆写</w:t>
      </w:r>
    </w:p>
    <w:p>
      <w:pPr>
        <w:numPr>
          <w:ilvl w:val="0"/>
          <w:numId w:val="3"/>
        </w:numPr>
      </w:pPr>
      <w:r>
        <w:t xml:space="preserve">生成销毁审计报告（数据类型、条数、执行人、复核人、合规审批）</w:t>
      </w:r>
    </w:p>
    <w:p>
      <w:pPr>
        <w:numPr>
          <w:ilvl w:val="0"/>
          <w:numId w:val="3"/>
        </w:numPr>
      </w:pPr>
      <w:r>
        <w:t xml:space="preserve">审计报告本身保留 </w:t>
      </w:r>
      <w:r>
        <w:rPr>
          <w:b w:val="1"/>
        </w:rPr>
        <w:t xml:space="preserve">10 年</w:t>
      </w:r>
    </w:p>
    <w:p>
      <w:pPr/>
      <w:r>
        <w:rPr>
          <w:b w:val="1"/>
        </w:rPr>
        <w:t xml:space="preserve">自动延长</w:t>
      </w:r>
      <w:r>
        <w:t xml:space="preserve">：如用户涉及未结案调查或法律诉讼，保留期延长至调查/诉讼终结后 5 年。</w:t>
      </w:r>
    </w:p>
    <w:p>
      <w:pPr>
        <w:pBdr>
          <w:top w:val="single" w:sz="6" w:space="0" w:color="000000"/>
        </w:pBdr>
      </w:pPr>
    </w:p>
    <w:p>
      <w:bookmarkStart w:id="mojr9pahfbfn91o24bj" w:name="mojr9pahfbfn91o24bj"/>
      <w:pPr>
        <w:pStyle w:val="dingding-heading3"/>
      </w:pPr>
      <w:r>
        <w:t xml:space="preserve">阶段五：账号关闭</w:t>
      </w:r>
      <w:bookmarkEnd w:id="mojr9pahfbfn91o24bj"/>
    </w:p>
    <w:p>
      <w:pPr>
        <w:pStyle w:val="dingding_code"/>
        <w:shd w:val="clear" w:color="auto" w:fill="D0CECE"/>
      </w:pPr>
      <w:r>
        <w:t xml:space="preserve">资格校验全部通过</w:t>
        <w:br w:type="textWrapping"/>
        <w:t xml:space="preserve">    ↓</w:t>
        <w:br w:type="textWrapping"/>
        <w:t xml:space="preserve">执行注销：</w:t>
        <w:br w:type="textWrapping"/>
        <w:t xml:space="preserve">    ├─ YASBe 账号：软删除（状态 → DELETED）</w:t>
        <w:br w:type="textWrapping"/>
        <w:t xml:space="preserve">    ├─ 解绑 Safeheron 钱包（解除 YASBe ↔ Safeheron 绑定关系）</w:t>
        <w:br w:type="textWrapping"/>
        <w:t xml:space="preserve">    ├─ 清除用户会话（强制退出登录）</w:t>
        <w:br w:type="textWrapping"/>
        <w:t xml:space="preserve">    ├─ KYC/KYB 全套材料（含身份证明文件原件 + 认证审核记录）：保留 5 年</w:t>
        <w:br w:type="textWrapping"/>
        <w:t xml:space="preserve">    │     ├─ 身份证明文件原件：加密存储至合规文件库，仅合规/法务团队可访问</w:t>
        <w:br w:type="textWrapping"/>
        <w:t xml:space="preserve">    │     └─ 认证审核记录：匿名化处理，存入合规数据库</w:t>
        <w:br w:type="textWrapping"/>
        <w:t xml:space="preserve">    └─ 发送注销完成通知（邮件）</w:t>
        <w:br w:type="textWrapping"/>
        <w:t xml:space="preserve">    ↓</w:t>
        <w:br w:type="textWrapping"/>
        <w:t xml:space="preserve">用户二次注册：</w:t>
        <w:br w:type="textWrapping"/>
        <w:t xml:space="preserve">    └─ 需重新完成 KYC/KYB 认证 → 视为全新账户</w:t>
        <w:br w:type="textWrapping"/>
        <w:t xml:space="preserve">        不继承旧账户任何数据（余额、交易记录、卡片、KYC/KYB 状态等）</w:t>
        <w:br w:type="textWrapping"/>
      </w:r>
    </w:p>
    <w:p>
      <w:pPr>
        <w:pBdr>
          <w:top w:val="single" w:sz="6" w:space="0" w:color="000000"/>
        </w:pBdr>
      </w:pPr>
    </w:p>
    <w:p>
      <w:bookmarkStart w:id="mojr9pai503gqdf6cd8" w:name="mojr9pai503gqdf6cd8"/>
      <w:pPr>
        <w:pStyle w:val="dingding-heading2"/>
      </w:pPr>
      <w:r>
        <w:t xml:space="preserve">异常流程</w:t>
      </w:r>
      <w:bookmarkEnd w:id="mojr9pai503gqdf6cd8"/>
    </w:p>
    <w:tbl>
      <w:tblPr>
        <w:tblStyle w:val="TableGrid"/>
        <w:tblW w:w="0" w:type="auto"/>
      </w:tblPr>
      <w:tblGrid>
        <w:gridCol w:w="4875"/>
        <w:gridCol w:w="4875"/>
      </w:tblGrid>
      <w:tr>
        <w:trPr>
          <w:trHeight w:val="0"/>
        </w:trPr>
        <w:tc>
          <w:tcPr>
            <w:tcW w:w="4875" w:type="dxa"/>
          </w:tcPr>
          <w:p>
            <w:pPr/>
            <w:r>
              <w:t xml:space="preserve">场景</w:t>
            </w:r>
          </w:p>
        </w:tc>
        <w:tc>
          <w:tcPr>
            <w:tcW w:w="4875" w:type="dxa"/>
          </w:tcPr>
          <w:p>
            <w:pPr/>
            <w:r>
              <w:t xml:space="preserve">处理方式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法币体现失败（银行账户问题）</w:t>
            </w:r>
          </w:p>
        </w:tc>
        <w:tc>
          <w:tcPr>
            <w:tcW w:w="4875" w:type="dxa"/>
          </w:tcPr>
          <w:p>
            <w:pPr/>
            <w:r>
              <w:t xml:space="preserve">运营人工介入，引导用户提供有效账户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第三方服务 Webhook 超时</w:t>
            </w:r>
          </w:p>
        </w:tc>
        <w:tc>
          <w:tcPr>
            <w:tcW w:w="4875" w:type="dxa"/>
          </w:tcPr>
          <w:p>
            <w:pPr/>
            <w:r>
              <w:t xml:space="preserve">重试 3 次（间隔 10min），失败则人工介入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KYC/KYB 存在未结调查/争议</w:t>
            </w:r>
          </w:p>
        </w:tc>
        <w:tc>
          <w:tcPr>
            <w:tcW w:w="4875" w:type="dxa"/>
          </w:tcPr>
          <w:p>
            <w:pPr/>
            <w:r>
              <w:t xml:space="preserve">暂停注销直到解决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加密/卡片余额 &gt; $0 且用户不配合</w:t>
            </w:r>
          </w:p>
        </w:tc>
        <w:tc>
          <w:tcPr>
            <w:tcW w:w="4875" w:type="dxa"/>
          </w:tcPr>
          <w:p>
            <w:pPr/>
            <w:r>
              <w:t xml:space="preserve">运营人工处理</w:t>
            </w:r>
          </w:p>
        </w:tc>
      </w:tr>
    </w:tbl>
    <w:p>
      <w:pPr>
        <w:pBdr>
          <w:top w:val="single" w:sz="6" w:space="0" w:color="000000"/>
        </w:pBdr>
      </w:pPr>
    </w:p>
    <w:p>
      <w:bookmarkStart w:id="mojr9pajwgutuzfpbz" w:name="mojr9pajwgutuzfpbz"/>
      <w:pPr>
        <w:pStyle w:val="dingding-heading2"/>
      </w:pPr>
      <w:r>
        <w:t xml:space="preserve">卡片余额死锁处理</w:t>
      </w:r>
      <w:bookmarkEnd w:id="mojr9pajwgutuzfpbz"/>
    </w:p>
    <w:p>
      <w:pPr>
        <w:pStyle w:val="dingding_quote"/>
      </w:pPr>
      <w:r>
        <w:t xml:space="preserve">Interlace 卡片余额（USD）无法逆向兑换为 USDT 或法币，存在产品死锁风险。接入后向 Interlace 确认是否有余额清退 API。</w:t>
      </w:r>
    </w:p>
    <w:tbl>
      <w:tblPr>
        <w:tblStyle w:val="TableGrid"/>
        <w:tblW w:w="0" w:type="auto"/>
      </w:tblPr>
      <w:tblGrid>
        <w:gridCol w:w="3240"/>
        <w:gridCol w:w="3240"/>
        <w:gridCol w:w="3240"/>
      </w:tblGrid>
      <w:tr>
        <w:trPr>
          <w:trHeight w:val="0"/>
        </w:trPr>
        <w:tc>
          <w:tcPr>
            <w:tcW w:w="3240" w:type="dxa"/>
          </w:tcPr>
          <w:p>
            <w:pPr/>
            <w:r/>
          </w:p>
        </w:tc>
        <w:tc>
          <w:tcPr>
            <w:tcW w:w="3240" w:type="dxa"/>
          </w:tcPr>
          <w:p>
            <w:pPr/>
            <w:r/>
          </w:p>
        </w:tc>
        <w:tc>
          <w:tcPr>
            <w:tcW w:w="324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3240" w:type="dxa"/>
          </w:tcPr>
          <w:p>
            <w:pPr/>
            <w:r>
              <w:t xml:space="preserve">方案 </w:t>
            </w:r>
          </w:p>
        </w:tc>
        <w:tc>
          <w:tcPr>
            <w:tcW w:w="3240" w:type="dxa"/>
          </w:tcPr>
          <w:p>
            <w:pPr/>
            <w:r>
              <w:t xml:space="preserve">向 Interlace 确认余额清退到银行账户 API</w:t>
            </w:r>
          </w:p>
        </w:tc>
        <w:tc>
          <w:tcPr>
            <w:tcW w:w="3240" w:type="dxa"/>
          </w:tcPr>
          <w:p>
            <w:pPr/>
            <w:r>
              <w:t xml:space="preserve">最优方案，可解决死锁</w:t>
            </w:r>
          </w:p>
        </w:tc>
      </w:tr>
    </w:tbl>
    <w:p>
      <w:pPr>
        <w:pBdr>
          <w:top w:val="single" w:sz="6" w:space="0" w:color="000000"/>
        </w:pBdr>
      </w:pPr>
    </w:p>
    <w:p>
      <w:bookmarkStart w:id="mojr9pal0zdpehfsrnpj" w:name="mojr9pal0zdpehfsrnpj"/>
      <w:pPr>
        <w:pStyle w:val="dingding-heading2"/>
      </w:pPr>
      <w:r>
        <w:t xml:space="preserve">补充说明</w:t>
      </w:r>
      <w:bookmarkEnd w:id="mojr9pal0zdpehfsrnpj"/>
    </w:p>
    <w:p>
      <w:pPr/>
      <w:r>
        <w:rPr>
          <w:b w:val="1"/>
        </w:rPr>
        <w:t xml:space="preserve">阶段3内Safeheron业务处理：归档（Archive）与删除的区别</w:t>
      </w:r>
    </w:p>
    <w:tbl>
      <w:tblPr>
        <w:tblStyle w:val="TableGrid"/>
        <w:tblW w:w="0" w:type="auto"/>
      </w:tblPr>
      <w:tblGrid>
        <w:gridCol w:w="3240"/>
        <w:gridCol w:w="3240"/>
        <w:gridCol w:w="3240"/>
      </w:tblGrid>
      <w:tr>
        <w:trPr>
          <w:trHeight w:val="0"/>
        </w:trPr>
        <w:tc>
          <w:tcPr>
            <w:tcW w:w="3240" w:type="dxa"/>
          </w:tcPr>
          <w:p>
            <w:pPr/>
            <w:r>
              <w:t xml:space="preserve">操作</w:t>
            </w:r>
          </w:p>
        </w:tc>
        <w:tc>
          <w:tcPr>
            <w:tcW w:w="3240" w:type="dxa"/>
          </w:tcPr>
          <w:p>
            <w:pPr/>
            <w:r>
              <w:t xml:space="preserve">说明</w:t>
            </w:r>
          </w:p>
        </w:tc>
        <w:tc>
          <w:tcPr>
            <w:tcW w:w="3240" w:type="dxa"/>
          </w:tcPr>
          <w:p>
            <w:pPr/>
            <w:r>
              <w:t xml:space="preserve">数据保留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/>
            <w:r>
              <w:t xml:space="preserve">Archive（归档）</w:t>
            </w:r>
          </w:p>
        </w:tc>
        <w:tc>
          <w:tcPr>
            <w:tcW w:w="3240" w:type="dxa"/>
          </w:tcPr>
          <w:p>
            <w:pPr/>
            <w:r>
              <w:t xml:space="preserve">钱包在 App/Web Console 中不可见，但数据仍在</w:t>
            </w:r>
          </w:p>
        </w:tc>
        <w:tc>
          <w:tcPr>
            <w:tcW w:w="3240" w:type="dxa"/>
          </w:tcPr>
          <w:p>
            <w:pPr/>
            <w:r>
              <w:t xml:space="preserve">✅ 保留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/>
            <w:r>
              <w:t xml:space="preserve">Delete（删除）</w:t>
            </w:r>
          </w:p>
        </w:tc>
        <w:tc>
          <w:tcPr>
            <w:tcW w:w="3240" w:type="dxa"/>
          </w:tcPr>
          <w:p>
            <w:pPr/>
            <w:r>
              <w:t xml:space="preserve">数据物理删除</w:t>
            </w:r>
          </w:p>
        </w:tc>
        <w:tc>
          <w:tcPr>
            <w:tcW w:w="3240" w:type="dxa"/>
          </w:tcPr>
          <w:p>
            <w:pPr/>
            <w:r>
              <w:t xml:space="preserve">❌ 不保留（Safeheron 不支持）</w:t>
            </w:r>
          </w:p>
        </w:tc>
      </w:tr>
    </w:tbl>
    <w:p>
      <w:pPr>
        <w:pBdr>
          <w:top w:val="single" w:sz="6" w:space="0" w:color="000000"/>
        </w:pBdr>
      </w:pPr>
    </w:p>
    <w:sectPr>
      <w:pgSz w:w="16905" w:h="23820"/>
      <w:pgMar w:top="720" w:right="1080" w:bottom="720" w:left="1080" w:header="850.95" w:footer="991.9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1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  <w:lvl w:ilvl="1">
      <w:start w:val="1"/>
      <w:numFmt w:val="bullet"/>
      <w:lvlText w:val="○"/>
      <w:lvlJc w:val="left"/>
      <w:pPr>
        <w:ind w:left="840" w:hanging="420"/>
      </w:pPr>
      <w:rPr/>
    </w:lvl>
  </w:abstractNum>
  <w:abstractNum w:abstractNumId="2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0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num w:numId="2">
    <w:abstractNumId w:val="1"/>
  </w:num>
  <w:num w:numId="3">
    <w:abstractNumId w:val="2"/>
  </w: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  <w:style w:type="paragraph" w:default="0" w:styleId="dingding-heading4">
    <w:name w:val="heading 4"/>
    <w:basedOn w:val="NormalParagraph"/>
    <w:tcPr/>
    <w:pPr>
      <w:keepLines w:val="1"/>
      <w:keepNext w:val="1"/>
      <w:spacing w:before="348" w:after="150" w:lineRule="auto"/>
    </w:pPr>
    <w:rPr>
      <w:sz w:val="16"/>
      <w:b w:val="1"/>
    </w:rPr>
  </w:style>
  <w:style w:type="paragraph" w:default="0" w:styleId="dingding_code">
    <w:name w:val="钉钉文档代码块"/>
    <w:tcPr/>
  </w:style>
  <w:style w:type="paragraph" w:default="0" w:styleId="dingding_quote">
    <w:name w:val="钉钉文档引用"/>
    <w:tcPr/>
    <w:pPr>
      <w:pBdr>
        <w:left w:val="single" w:sz="30" w:space="9" w:color="F0F0F0"/>
      </w:pBdr>
    </w:pPr>
    <w:rPr>
      <w:sz w:val="22"/>
      <w:rFonts w:ascii="微软雅黑" w:hAnsi="微软雅黑" w:cs="微软雅黑" w:eastAsia="微软雅黑"/>
      <w:color w:val="ADADAD"/>
      <w:kern w:val="0"/>
    </w:rPr>
  </w:style>
  <w:style w:type="paragraph" w:default="1" w:styleId="docDefaults">
    <w:name w:val="dingdocnormal"/>
    <w:tcPr/>
    <w:pPr>
      <w:spacing/>
    </w:pPr>
    <w:rPr>
      <w:sz w:val="24"/>
    </w:rPr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