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YASBe账号注销功PRDv1.0</w:t>
      </w:r>
    </w:p>
    <w:p>
      <w:pPr>
        <w:jc w:val="center"/>
      </w:pPr>
      <w:r>
        <w:rPr>
          <w:sz w:val="56"/>
          <w:rFonts w:ascii="Microsoft YaHei" w:hAnsi="Microsoft YaHei" w:cs="Microsoft YaHei" w:eastAsia="Microsoft YaHei"/>
          <w:color w:val="1E40AF"/>
          <w:b w:val="1"/>
        </w:rPr>
        <w:t xml:space="preserve">YASBe 账号注销功能</w:t>
      </w:r>
    </w:p>
    <w:p>
      <w:pPr>
        <w:spacing w:before="200"/>
        <w:jc w:val="center"/>
      </w:pPr>
      <w:r>
        <w:rPr>
          <w:sz w:val="32"/>
          <w:rFonts w:ascii="Microsoft YaHei" w:hAnsi="Microsoft YaHei" w:cs="Microsoft YaHei" w:eastAsia="Microsoft YaHei"/>
          <w:color w:val="6B7280"/>
        </w:rPr>
        <w:t xml:space="preserve">产品需求文档（PRD）</w:t>
      </w:r>
    </w:p>
    <w:p>
      <w:pPr>
        <w:spacing w:before="200"/>
        <w:jc w:val="center"/>
      </w:pPr>
      <w:r>
        <w:rPr>
          <w:sz w:val="32"/>
          <w:rFonts w:ascii="Microsoft YaHei" w:hAnsi="Microsoft YaHei" w:cs="Microsoft YaHei" w:eastAsia="Microsoft YaHei"/>
          <w:color w:val="6B7280"/>
        </w:rPr>
      </w:r>
    </w:p>
    <w:p>
      <w:pPr>
        <w:jc w:val="center"/>
      </w:pPr>
      <w:r>
        <w:rPr>
          <w:sz w:val="24"/>
          <w:color w:val="374151"/>
        </w:rPr>
        <w:t xml:space="preserve">版本：v1.0</w:t>
      </w:r>
    </w:p>
    <w:p>
      <w:pPr>
        <w:spacing w:before="120"/>
        <w:jc w:val="center"/>
      </w:pPr>
      <w:r>
        <w:rPr>
          <w:sz w:val="24"/>
          <w:color w:val="374151"/>
        </w:rPr>
        <w:t xml:space="preserve">日期：2026-04-28</w:t>
      </w:r>
    </w:p>
    <w:p>
      <w:pPr>
        <w:spacing w:before="120"/>
        <w:jc w:val="center"/>
      </w:pPr>
      <w:r>
        <w:rPr>
          <w:sz w:val="24"/>
          <w:color w:val="374151"/>
        </w:rPr>
        <w:t xml:space="preserve">作者：谢翼（Driven）</w:t>
      </w:r>
    </w:p>
    <w:p>
      <w:pPr>
        <w:spacing w:before="120"/>
        <w:jc w:val="center"/>
      </w:pPr>
      <w:r>
        <w:rPr>
          <w:sz w:val="24"/>
          <w:color w:val="374151"/>
        </w:rPr>
        <w:t xml:space="preserve">原型：</w:t>
      </w:r>
    </w:p>
    <w:p>
      <w:hyperlink r:id="rId6">
        <w:r>
          <w:rPr>
            <w:rStyle w:val="hyperlink"/>
          </w:rPr>
          <w:t xml:space="preserve">请至钉钉文档查看附件《YASBe_注销流程原型_2026-04-28.html》。</w:t>
        </w:r>
      </w:hyperlink>
    </w:p>
    <w:p>
      <w:pPr/>
      <w:r/>
      <w:r>
        <w:br w:type="page"/>
      </w:r>
      <w:r/>
    </w:p>
    <w:p>
      <w:bookmarkStart w:id="moib2fyemibtd9zys1l" w:name="moib2fyemibtd9zys1l"/>
      <w:pPr>
        <w:pStyle w:val="dingding-heading1"/>
      </w:pPr>
      <w:r>
        <w:t xml:space="preserve">1. 文档概述</w:t>
      </w:r>
      <w:bookmarkEnd w:id="moib2fyemibtd9zys1l"/>
    </w:p>
    <w:p>
      <w:bookmarkStart w:id="moib2fyeq2veep6iatc" w:name="moib2fyeq2veep6iatc"/>
      <w:pPr>
        <w:pStyle w:val="dingding-heading2"/>
      </w:pPr>
      <w:r>
        <w:t xml:space="preserve">1.1 背景与目的</w:t>
      </w:r>
      <w:bookmarkEnd w:id="moib2fyeq2veep6iatc"/>
    </w:p>
    <w:p>
      <w:pPr>
        <w:spacing w:after="120"/>
      </w:pPr>
      <w:r>
        <w:t xml:space="preserve">YASBe 平台面向全球用户提供法币账户、加密货币钱包（Safeheron MPC 托管）与 Visa 预付卡（Interlace 发卡）服务。根据 各地数据保护法规及用户体验最佳实践，平台需提供完整的账号注销功能。</w:t>
      </w:r>
    </w:p>
    <w:p>
      <w:pPr>
        <w:spacing w:after="200"/>
      </w:pPr>
      <w:r>
        <w:t xml:space="preserve">本文档定义账号注销功能的产品需求，涵盖用户端流程、后台联动、数据合规处理及异常场景。</w:t>
      </w:r>
    </w:p>
    <w:p>
      <w:bookmarkStart w:id="moib2fyeeaweho3f99e" w:name="moib2fyeeaweho3f99e"/>
      <w:pPr>
        <w:pStyle w:val="dingding-heading2"/>
      </w:pPr>
      <w:r>
        <w:t xml:space="preserve">1.2 适用范围</w:t>
      </w:r>
      <w:bookmarkEnd w:id="moib2fyeeaweho3f99e"/>
    </w:p>
    <w:p>
      <w:pPr>
        <w:pStyle w:val="ListParagraph"/>
        <w:numPr>
          <w:ilvl w:val="0"/>
          <w:numId w:val="1"/>
        </w:numPr>
      </w:pPr>
      <w:r>
        <w:t xml:space="preserve">YASBe 平台所有已完成 KYC/KYB认证的用户</w:t>
      </w:r>
    </w:p>
    <w:p>
      <w:pPr>
        <w:pStyle w:val="ListParagraph"/>
        <w:numPr>
          <w:ilvl w:val="0"/>
          <w:numId w:val="1"/>
        </w:numPr>
      </w:pPr>
      <w:r>
        <w:t xml:space="preserve">集成 Safeheron 钱包与 Interlace 卡片的账户体系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支持 Web 端与移动端（H5/APP）</w:t>
      </w:r>
    </w:p>
    <w:p>
      <w:bookmarkStart w:id="moib2fye4mkxwekovac" w:name="moib2fye4mkxwekovac"/>
      <w:pPr>
        <w:pStyle w:val="dingding-heading2"/>
      </w:pPr>
      <w:r>
        <w:t xml:space="preserve">1.3 术语定义</w:t>
      </w:r>
      <w:bookmarkEnd w:id="moib2fye4mkxwekovac"/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1810"/>
        <w:gridCol w:w="4924"/>
      </w:tblGrid>
      <w:tr>
        <w:trPr/>
        <w:tc>
          <w:tcPr>
            <w:tcW w:w="28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术语</w:t>
            </w:r>
          </w:p>
        </w:tc>
        <w:tc>
          <w:tcPr>
            <w:tcW w:w="65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定义</w:t>
            </w:r>
          </w:p>
        </w:tc>
      </w:tr>
      <w:tr>
        <w:trPr/>
        <w:tc>
          <w:tcPr>
            <w:tcW w:w="28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账号注销</w:t>
            </w:r>
          </w:p>
        </w:tc>
        <w:tc>
          <w:tcPr>
            <w:tcW w:w="65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用户主动发起的账户永久关闭请求，触发全链路数据清理</w:t>
            </w:r>
          </w:p>
        </w:tc>
      </w:tr>
      <w:tr>
        <w:trPr/>
        <w:tc>
          <w:tcPr>
            <w:tcW w:w="28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Safeheron</w:t>
            </w:r>
          </w:p>
        </w:tc>
        <w:tc>
          <w:tcPr>
            <w:tcW w:w="65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MPC 托管钱包服务商，托管用户 USDT/USDC/ETH 等加密资产</w:t>
            </w:r>
          </w:p>
        </w:tc>
      </w:tr>
      <w:tr>
        <w:trPr/>
        <w:tc>
          <w:tcPr>
            <w:tcW w:w="28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Interlace</w:t>
            </w:r>
          </w:p>
        </w:tc>
        <w:tc>
          <w:tcPr>
            <w:tcW w:w="65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Apus Technology 旗下 B2B 支付平台，提供 Visa 预付卡发卡服务</w:t>
            </w:r>
          </w:p>
        </w:tc>
      </w:tr>
      <w:tr>
        <w:trPr/>
        <w:tc>
          <w:tcPr>
            <w:tcW w:w="28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全链路联动注销</w:t>
            </w:r>
          </w:p>
        </w:tc>
        <w:tc>
          <w:tcPr>
            <w:tcW w:w="65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YASBe 主动调用 Safeheron/Interlace API 完成钱包解绑、卡片关闭</w:t>
            </w:r>
          </w:p>
        </w:tc>
      </w:tr>
      <w:tr>
        <w:trPr/>
        <w:tc>
          <w:tcPr>
            <w:tcW w:w="28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合规保留期</w:t>
            </w:r>
          </w:p>
        </w:tc>
        <w:tc>
          <w:tcPr>
            <w:tcW w:w="65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根据反洗钱法规，KYC 身份数据需保留 5 年，交易记录 7 年</w:t>
            </w:r>
          </w:p>
        </w:tc>
      </w:tr>
    </w:tbl>
    <w:p>
      <w:pPr/>
      <w:r/>
      <w:r>
        <w:br w:type="page"/>
      </w:r>
      <w:r/>
    </w:p>
    <w:p>
      <w:bookmarkStart w:id="moib2fyf4r7cgmruigy" w:name="moib2fyf4r7cgmruigy"/>
      <w:pPr>
        <w:pStyle w:val="dingding-heading1"/>
      </w:pPr>
      <w:r>
        <w:t xml:space="preserve">2. 业务流程</w:t>
      </w:r>
      <w:bookmarkEnd w:id="moib2fyf4r7cgmruigy"/>
    </w:p>
    <w:p>
      <w:bookmarkStart w:id="moib2fyfo41u2uluw5" w:name="moib2fyfo41u2uluw5"/>
      <w:pPr>
        <w:pStyle w:val="dingding-heading2"/>
      </w:pPr>
      <w:r>
        <w:t xml:space="preserve">2.1 整体流程概览</w:t>
      </w:r>
      <w:bookmarkEnd w:id="moib2fyfo41u2uluw5"/>
    </w:p>
    <w:p>
      <w:pPr>
        <w:spacing w:after="200"/>
      </w:pPr>
      <w:r>
        <w:t xml:space="preserve">账号注销分为四个阶段，用户需依次完成：</w:t>
      </w:r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825"/>
        <w:gridCol w:w="1425"/>
        <w:gridCol w:w="4485"/>
      </w:tblGrid>
      <w:tr>
        <w:trPr/>
        <w:tc>
          <w:tcPr>
            <w:tcW w:w="12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阶段</w:t>
            </w:r>
          </w:p>
        </w:tc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名称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核心任务</w:t>
            </w:r>
          </w:p>
        </w:tc>
      </w:tr>
      <w:tr>
        <w:trPr/>
        <w:tc>
          <w:tcPr>
            <w:tcW w:w="12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P1</w:t>
            </w:r>
          </w:p>
        </w:tc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资格校验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检查账户是否满足注销前提（无进行中交易、无未结争议等）</w:t>
            </w:r>
          </w:p>
        </w:tc>
      </w:tr>
      <w:tr>
        <w:trPr/>
        <w:tc>
          <w:tcPr>
            <w:tcW w:w="12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P2</w:t>
            </w:r>
          </w:p>
        </w:tc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清空资产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转出 Safeheron 钱包余额、消费清零 Interlace 卡片余额</w:t>
            </w:r>
          </w:p>
        </w:tc>
      </w:tr>
      <w:tr>
        <w:trPr/>
        <w:tc>
          <w:tcPr>
            <w:tcW w:w="12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P3</w:t>
            </w:r>
          </w:p>
        </w:tc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身份验证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登录密码验证 + 邮箱 OTP 验证 + 风险确认</w:t>
            </w:r>
          </w:p>
        </w:tc>
      </w:tr>
      <w:tr>
        <w:trPr/>
        <w:tc>
          <w:tcPr>
            <w:tcW w:w="12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P4</w:t>
            </w:r>
          </w:p>
        </w:tc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处理完成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后台联动 Safeheron/Interlace，完成账号永久关闭</w:t>
            </w:r>
          </w:p>
        </w:tc>
      </w:tr>
    </w:tbl>
    <w:p>
      <w:bookmarkStart w:id="moib2fyf3mgkujsqlx0" w:name="moib2fyf3mgkujsqlx0"/>
      <w:pPr>
        <w:pStyle w:val="dingding-heading2"/>
        <w:spacing w:before="200"/>
      </w:pPr>
      <w:r>
        <w:t xml:space="preserve">2.2 P1 资格校验</w:t>
      </w:r>
      <w:bookmarkEnd w:id="moib2fyf3mgkujsqlx0"/>
    </w:p>
    <w:p>
      <w:pPr>
        <w:spacing w:after="120"/>
      </w:pPr>
      <w:r>
        <w:t xml:space="preserve">系统自动检查 6 项前置条件，全部通过方可进入下一阶段：</w:t>
      </w:r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2860"/>
        <w:gridCol w:w="3949"/>
      </w:tblGrid>
      <w:tr>
        <w:trPr/>
        <w:tc>
          <w:tcPr>
            <w:tcW w:w="4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检查项</w:t>
            </w:r>
          </w:p>
        </w:tc>
        <w:tc>
          <w:tcPr>
            <w:tcW w:w="53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通过条件</w:t>
            </w:r>
          </w:p>
        </w:tc>
      </w:tr>
      <w:tr>
        <w:trPr/>
        <w:tc>
          <w:tcPr>
            <w:tcW w:w="4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无进行中的交易</w:t>
            </w:r>
          </w:p>
        </w:tc>
        <w:tc>
          <w:tcPr>
            <w:tcW w:w="53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无待处理的充值/提现/转账记录</w:t>
            </w:r>
          </w:p>
        </w:tc>
      </w:tr>
      <w:tr>
        <w:trPr/>
        <w:tc>
          <w:tcPr>
            <w:tcW w:w="4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法币余额已清零</w:t>
            </w:r>
          </w:p>
        </w:tc>
        <w:tc>
          <w:tcPr>
            <w:tcW w:w="53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USD / EUR / GBP 账户余额均为 0</w:t>
            </w:r>
          </w:p>
        </w:tc>
      </w:tr>
      <w:tr>
        <w:trPr/>
        <w:tc>
          <w:tcPr>
            <w:tcW w:w="4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Safeheron 钱包已清空</w:t>
            </w:r>
          </w:p>
        </w:tc>
        <w:tc>
          <w:tcPr>
            <w:tcW w:w="53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USDT / USDC / ETH 等加密货币余额为 0</w:t>
            </w:r>
          </w:p>
        </w:tc>
      </w:tr>
      <w:tr>
        <w:trPr/>
        <w:tc>
          <w:tcPr>
            <w:tcW w:w="4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Interlace 卡片余额已清零</w:t>
            </w:r>
          </w:p>
        </w:tc>
        <w:tc>
          <w:tcPr>
            <w:tcW w:w="53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所有 Visa 预付卡余额为 0（消费清零）</w:t>
            </w:r>
          </w:p>
        </w:tc>
      </w:tr>
      <w:tr>
        <w:trPr/>
        <w:tc>
          <w:tcPr>
            <w:tcW w:w="4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无未完成的订单</w:t>
            </w:r>
          </w:p>
        </w:tc>
        <w:tc>
          <w:tcPr>
            <w:tcW w:w="53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无进行中的 KYC 申请、开户申请</w:t>
            </w:r>
          </w:p>
        </w:tc>
      </w:tr>
      <w:tr>
        <w:trPr/>
        <w:tc>
          <w:tcPr>
            <w:tcW w:w="4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无未结争议交易</w:t>
            </w:r>
          </w:p>
        </w:tc>
        <w:tc>
          <w:tcPr>
            <w:tcW w:w="535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所有 Visa 消费争议（Chargeback）已处理完毕</w:t>
            </w:r>
          </w:p>
        </w:tc>
      </w:tr>
    </w:tbl>
    <w:p>
      <w:bookmarkStart w:id="moib2fyf9pts9ok5duj" w:name="moib2fyf9pts9ok5duj"/>
      <w:pPr>
        <w:pStyle w:val="dingding-heading2"/>
        <w:spacing w:before="200"/>
      </w:pPr>
      <w:r>
        <w:t xml:space="preserve">2.3 P2 清空资产</w:t>
      </w:r>
      <w:bookmarkEnd w:id="moib2fyf9pts9ok5duj"/>
    </w:p>
    <w:p>
      <w:pPr>
        <w:spacing w:after="120"/>
      </w:pPr>
      <w:r>
        <w:t xml:space="preserve">用户需主动完成两项资产清空操作：</w:t>
      </w:r>
    </w:p>
    <w:p>
      <w:bookmarkStart w:id="moib2fyf8p7iit24fwt" w:name="moib2fyf8p7iit24fwt"/>
      <w:pPr>
        <w:pStyle w:val="dingding-heading3"/>
      </w:pPr>
      <w:r>
        <w:t xml:space="preserve">2.3.1 Safeheron 钱包转出</w:t>
      </w:r>
      <w:bookmarkEnd w:id="moib2fyf8p7iit24fwt"/>
    </w:p>
    <w:p>
      <w:pPr>
        <w:pStyle w:val="ListParagraph"/>
        <w:numPr>
          <w:ilvl w:val="0"/>
          <w:numId w:val="1"/>
        </w:numPr>
      </w:pPr>
      <w:r>
        <w:t xml:space="preserve">用户选择币种（USDT/USDC/ETH）与转出数量</w:t>
      </w:r>
    </w:p>
    <w:p>
      <w:pPr>
        <w:pStyle w:val="ListParagraph"/>
        <w:numPr>
          <w:ilvl w:val="0"/>
          <w:numId w:val="1"/>
        </w:numPr>
      </w:pPr>
      <w:r>
        <w:t xml:space="preserve">填写外部钱包地址（目标地址）</w:t>
      </w:r>
    </w:p>
    <w:p>
      <w:pPr>
        <w:pStyle w:val="ListParagraph"/>
        <w:numPr>
          <w:ilvl w:val="0"/>
          <w:numId w:val="1"/>
        </w:numPr>
      </w:pPr>
      <w:r>
        <w:t xml:space="preserve">系统显示预估 Gas 费（ETH 网络）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提交后调用 Safeheron API 创建交易，用户需在 Safeheron App 确认签名（MPC）</w:t>
      </w:r>
    </w:p>
    <w:p>
      <w:bookmarkStart w:id="moib2fyfglax679ap9k" w:name="moib2fyfglax679ap9k"/>
      <w:pPr>
        <w:pStyle w:val="dingding-heading3"/>
      </w:pPr>
      <w:r>
        <w:t xml:space="preserve">2.3.2 Interlace 卡片消费清零</w:t>
      </w:r>
      <w:bookmarkEnd w:id="moib2fyfglax679ap9k"/>
    </w:p>
    <w:p>
      <w:pPr>
        <w:pStyle w:val="ListParagraph"/>
        <w:numPr>
          <w:ilvl w:val="0"/>
          <w:numId w:val="1"/>
        </w:numPr>
      </w:pPr>
      <w:r>
        <w:t xml:space="preserve">Interlace 卡片为借记卡模式，余额（USD）无法逆向兑换为 USDT</w:t>
      </w:r>
    </w:p>
    <w:p>
      <w:pPr>
        <w:pStyle w:val="ListParagraph"/>
        <w:numPr>
          <w:ilvl w:val="0"/>
          <w:numId w:val="1"/>
        </w:numPr>
      </w:pPr>
      <w:r>
        <w:t xml:space="preserve">用户需通过 Visa 商户消费清零（线上购物、线下刷卡、充值其他钱包）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消费完成后刷新页面，系统重新校验余额</w:t>
      </w:r>
    </w:p>
    <w:p>
      <w:bookmarkStart w:id="moib2fyff4uqmgxtym0" w:name="moib2fyff4uqmgxtym0"/>
      <w:pPr>
        <w:pStyle w:val="dingding-heading2"/>
      </w:pPr>
      <w:r>
        <w:t xml:space="preserve">2.4 P3 身份验证</w:t>
      </w:r>
      <w:bookmarkEnd w:id="moib2fyff4uqmgxtym0"/>
    </w:p>
    <w:p>
      <w:pPr>
        <w:spacing w:after="120"/>
      </w:pPr>
      <w:r>
        <w:t xml:space="preserve">双重验证确保操作者本人：</w:t>
      </w:r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1290"/>
        <w:gridCol w:w="2880"/>
        <w:gridCol w:w="2595"/>
      </w:tblGrid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验证方式</w:t>
            </w:r>
          </w:p>
        </w:tc>
        <w:tc>
          <w:tcPr>
            <w:tcW w:w="348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验证内容</w:t>
            </w:r>
          </w:p>
        </w:tc>
        <w:tc>
          <w:tcPr>
            <w:tcW w:w="348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失败处理</w:t>
            </w:r>
          </w:p>
        </w:tc>
      </w:tr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登录密码</w:t>
            </w:r>
          </w:p>
        </w:tc>
        <w:tc>
          <w:tcPr>
            <w:tcW w:w="348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用户当前登录密码</w:t>
            </w:r>
          </w:p>
        </w:tc>
        <w:tc>
          <w:tcPr>
            <w:tcW w:w="348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3 次错误后锁定 15 分钟</w:t>
            </w:r>
          </w:p>
        </w:tc>
      </w:tr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邮箱 OTP</w:t>
            </w:r>
          </w:p>
        </w:tc>
        <w:tc>
          <w:tcPr>
            <w:tcW w:w="348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6 位验证码发送至注册邮箱</w:t>
            </w:r>
          </w:p>
        </w:tc>
        <w:tc>
          <w:tcPr>
            <w:tcW w:w="348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60s 倒计时后可重发</w:t>
            </w:r>
          </w:p>
        </w:tc>
      </w:tr>
    </w:tbl>
    <w:p>
      <w:pPr>
        <w:spacing w:before="120"/>
      </w:pPr>
      <w:r>
        <w:rPr>
          <w:b w:val="1"/>
        </w:rPr>
        <w:t xml:space="preserve">风险确认：</w:t>
      </w:r>
      <w:r>
        <w:t xml:space="preserve">用户需勾选「我已充分了解注销账号的不可逆后果」后方可提交。</w:t>
      </w:r>
    </w:p>
    <w:p>
      <w:bookmarkStart w:id="moib2fyfqiutmrdhf99" w:name="moib2fyfqiutmrdhf99"/>
      <w:pPr>
        <w:pStyle w:val="dingding-heading2"/>
        <w:spacing w:before="200"/>
      </w:pPr>
      <w:r>
        <w:t xml:space="preserve">2.5 P4 处理完成</w:t>
      </w:r>
      <w:bookmarkEnd w:id="moib2fyfqiutmrdhf99"/>
    </w:p>
    <w:p>
      <w:pPr>
        <w:spacing w:after="120"/>
      </w:pPr>
      <w:r>
        <w:t xml:space="preserve">提交后系统后台依次执行以下操作：</w:t>
      </w:r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2535"/>
        <w:gridCol w:w="4170"/>
      </w:tblGrid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步骤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说明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1. 注销申请记录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创建注销工单，状态为 PROCESSING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2. Safeheron 钱包解绑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调用 Safeheron API 归档 Vault Account，解除绑定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3. Interlace 卡片关闭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调用 Interlace API 关闭所有关联卡片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4. KYC 数据标记删除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标记为待删除，实际删除在合规保留期后执行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5. 账号永久关闭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账号状态置为 CLOSED，禁止登录</w:t>
            </w:r>
          </w:p>
        </w:tc>
      </w:tr>
    </w:tbl>
    <w:p>
      <w:pPr>
        <w:spacing w:before="120"/>
      </w:pPr>
      <w:r>
        <w:t xml:space="preserve">全部处理完成后发送邮件通知用户。</w:t>
      </w:r>
    </w:p>
    <w:p>
      <w:pPr/>
      <w:r/>
      <w:r>
        <w:br w:type="page"/>
      </w:r>
      <w:r/>
    </w:p>
    <w:p>
      <w:bookmarkStart w:id="moib2fyflyfidz651av" w:name="moib2fyflyfidz651av"/>
      <w:pPr>
        <w:pStyle w:val="dingding-heading1"/>
      </w:pPr>
      <w:r>
        <w:t xml:space="preserve">3. 功能需求</w:t>
      </w:r>
      <w:bookmarkEnd w:id="moib2fyflyfidz651av"/>
    </w:p>
    <w:p>
      <w:bookmarkStart w:id="moib2fyfh7266ospt4l" w:name="moib2fyfh7266ospt4l"/>
      <w:pPr>
        <w:pStyle w:val="dingding-heading2"/>
      </w:pPr>
      <w:r>
        <w:t xml:space="preserve">3.1 前端交互需求</w:t>
      </w:r>
      <w:bookmarkEnd w:id="moib2fyfh7266ospt4l"/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1575"/>
        <w:gridCol w:w="5205"/>
      </w:tblGrid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模块</w:t>
            </w:r>
          </w:p>
        </w:tc>
        <w:tc>
          <w:tcPr>
            <w:tcW w:w="69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需求说明</w:t>
            </w:r>
          </w:p>
        </w:tc>
      </w:tr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入口位置</w:t>
            </w:r>
          </w:p>
        </w:tc>
        <w:tc>
          <w:tcPr>
            <w:tcW w:w="69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「我的」→「账号与安全」→「注销账号」</w:t>
            </w:r>
          </w:p>
        </w:tc>
      </w:tr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步骤导航</w:t>
            </w:r>
          </w:p>
        </w:tc>
        <w:tc>
          <w:tcPr>
            <w:tcW w:w="69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顶部显示 4 步进度条（资格校验→清空资产→身份验证→完成）</w:t>
            </w:r>
          </w:p>
        </w:tc>
      </w:tr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状态反馈</w:t>
            </w:r>
          </w:p>
        </w:tc>
        <w:tc>
          <w:tcPr>
            <w:tcW w:w="69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每个检查项显示通过/未通过标签，未通过项高亮并给出操作引导</w:t>
            </w:r>
          </w:p>
        </w:tc>
      </w:tr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子页面</w:t>
            </w:r>
          </w:p>
        </w:tc>
        <w:tc>
          <w:tcPr>
            <w:tcW w:w="69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转出加密货币、消费清零卡片余额采用弹窗/抽屉形式</w:t>
            </w:r>
          </w:p>
        </w:tc>
      </w:tr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异常处理</w:t>
            </w:r>
          </w:p>
        </w:tc>
        <w:tc>
          <w:tcPr>
            <w:tcW w:w="69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API 调用失败时显示 Toast 提示，支持重试</w:t>
            </w:r>
          </w:p>
        </w:tc>
      </w:tr>
      <w:tr>
        <w:trPr/>
        <w:tc>
          <w:tcPr>
            <w:tcW w:w="24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安全提示</w:t>
            </w:r>
          </w:p>
        </w:tc>
        <w:tc>
          <w:tcPr>
            <w:tcW w:w="69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全程显示风险警示文案，关键操作需二次确认</w:t>
            </w:r>
          </w:p>
        </w:tc>
      </w:tr>
    </w:tbl>
    <w:p>
      <w:bookmarkStart w:id="moib2fyfcdhpme4mcdg" w:name="moib2fyfcdhpme4mcdg"/>
      <w:pPr>
        <w:pStyle w:val="dingding-heading2"/>
        <w:spacing w:before="200"/>
      </w:pPr>
      <w:r>
        <w:t xml:space="preserve">3.2 后台需求</w:t>
      </w:r>
      <w:bookmarkEnd w:id="moib2fyfcdhpme4mcdg"/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6160"/>
      </w:tblGrid>
      <w:tr>
        <w:trPr/>
        <w:tc>
          <w:tcPr>
            <w:tcW w:w="61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说明</w:t>
            </w:r>
          </w:p>
        </w:tc>
      </w:tr>
      <w:tr>
        <w:trPr/>
        <w:tc>
          <w:tcPr>
            <w:tcW w:w="61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查询账号注销资格校验结果（6 项检查）</w:t>
            </w:r>
          </w:p>
        </w:tc>
      </w:tr>
      <w:tr>
        <w:trPr/>
        <w:tc>
          <w:tcPr>
            <w:tcW w:w="61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创建 Safeheron 转出交易</w:t>
            </w:r>
          </w:p>
        </w:tc>
      </w:tr>
      <w:tr>
        <w:trPr/>
        <w:tc>
          <w:tcPr>
            <w:tcW w:w="61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提交身份验证（密码 + OTP）</w:t>
            </w:r>
          </w:p>
        </w:tc>
      </w:tr>
      <w:tr>
        <w:trPr/>
        <w:tc>
          <w:tcPr>
            <w:tcW w:w="61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提交注销申请，触发后台处理流程</w:t>
            </w:r>
          </w:p>
        </w:tc>
      </w:tr>
      <w:tr>
        <w:trPr/>
        <w:tc>
          <w:tcPr>
            <w:tcW w:w="61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查询注销处理进度</w:t>
            </w:r>
          </w:p>
        </w:tc>
      </w:tr>
    </w:tbl>
    <w:p>
      <w:bookmarkStart w:id="moib2fyg3xc8ajgcx1s" w:name="moib2fyg3xc8ajgcx1s"/>
      <w:pPr>
        <w:pStyle w:val="dingding-heading2"/>
        <w:spacing w:before="200"/>
      </w:pPr>
      <w:r>
        <w:t xml:space="preserve">3.3 第三方联动需求</w:t>
      </w:r>
      <w:bookmarkEnd w:id="moib2fyg3xc8ajgcx1s"/>
    </w:p>
    <w:p>
      <w:pPr>
        <w:spacing w:after="120"/>
      </w:pPr>
      <w:r>
        <w:rPr>
          <w:b w:val="1"/>
        </w:rPr>
        <w:t xml:space="preserve">Safeheron 钱包解绑：</w:t>
      </w:r>
    </w:p>
    <w:p>
      <w:pPr>
        <w:pStyle w:val="ListParagraph"/>
        <w:numPr>
          <w:ilvl w:val="0"/>
          <w:numId w:val="1"/>
        </w:numPr>
      </w:pPr>
      <w:r>
        <w:t xml:space="preserve">Safeheron 无删除 API，仅提供 archived 参数（归档功能）</w:t>
      </w:r>
    </w:p>
    <w:p>
      <w:pPr>
        <w:pStyle w:val="ListParagraph"/>
        <w:numPr>
          <w:ilvl w:val="0"/>
          <w:numId w:val="1"/>
        </w:numPr>
      </w:pPr>
      <w:r>
        <w:t xml:space="preserve">YASBe 调用归档接口后，需联系 Safeheron 运营人工处理最终关闭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归档后 Vault Account 不可再发起交易</w:t>
      </w:r>
    </w:p>
    <w:p>
      <w:pPr>
        <w:spacing w:after="120"/>
      </w:pPr>
      <w:r>
        <w:rPr>
          <w:b w:val="1"/>
        </w:rPr>
        <w:t xml:space="preserve">Interlace 卡片关闭：</w:t>
      </w:r>
    </w:p>
    <w:p>
      <w:pPr>
        <w:pStyle w:val="ListParagraph"/>
        <w:numPr>
          <w:ilvl w:val="0"/>
          <w:numId w:val="1"/>
        </w:numPr>
      </w:pPr>
      <w:r>
        <w:t xml:space="preserve">需确认 Interlace 是否提供关闭卡片 API（待接入后确认）</w:t>
      </w:r>
    </w:p>
    <w:p>
      <w:pPr>
        <w:pStyle w:val="ListParagraph"/>
        <w:numPr>
          <w:ilvl w:val="0"/>
          <w:numId w:val="1"/>
        </w:numPr>
      </w:pPr>
      <w:r>
        <w:t xml:space="preserve">存在 CARD.DELETED Webhook 事件，表明关闭能力存在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如无 API，需联系 Interlace 运营人工处理</w:t>
      </w:r>
    </w:p>
    <w:p>
      <w:pPr/>
      <w:r/>
      <w:r>
        <w:br w:type="page"/>
      </w:r>
      <w:r/>
    </w:p>
    <w:p>
      <w:bookmarkStart w:id="moib2fygj12n309ckh8" w:name="moib2fygj12n309ckh8"/>
      <w:pPr>
        <w:pStyle w:val="dingding-heading1"/>
      </w:pPr>
      <w:r>
        <w:t xml:space="preserve">4. 数据合规处理</w:t>
      </w:r>
      <w:bookmarkEnd w:id="moib2fygj12n309ckh8"/>
    </w:p>
    <w:p>
      <w:bookmarkStart w:id="moib2fygh14fy87y1lz" w:name="moib2fygh14fy87y1lz"/>
      <w:pPr>
        <w:pStyle w:val="dingding-heading2"/>
      </w:pPr>
      <w:r>
        <w:t xml:space="preserve">4.1 数据保留政策</w:t>
      </w:r>
      <w:bookmarkEnd w:id="moib2fygh14fy87y1lz"/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1789"/>
        <w:gridCol w:w="1774"/>
        <w:gridCol w:w="3079"/>
      </w:tblGrid>
      <w:tr>
        <w:trPr/>
        <w:tc>
          <w:tcPr>
            <w:tcW w:w="319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数据类型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保留期限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依据</w:t>
            </w:r>
          </w:p>
        </w:tc>
      </w:tr>
      <w:tr>
        <w:trPr/>
        <w:tc>
          <w:tcPr>
            <w:tcW w:w="319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KYC 身份信息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5 年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反洗钱法规（AMLD6/FATF）</w:t>
            </w:r>
          </w:p>
        </w:tc>
      </w:tr>
      <w:tr>
        <w:trPr/>
        <w:tc>
          <w:tcPr>
            <w:tcW w:w="319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交易记录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7 年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税务审计要求</w:t>
            </w:r>
          </w:p>
        </w:tc>
      </w:tr>
      <w:tr>
        <w:trPr/>
        <w:tc>
          <w:tcPr>
            <w:tcW w:w="319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登录日志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1 年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安全审计</w:t>
            </w:r>
          </w:p>
        </w:tc>
      </w:tr>
      <w:tr>
        <w:trPr/>
        <w:tc>
          <w:tcPr>
            <w:tcW w:w="319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用户偏好设置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立即删除</w:t>
            </w:r>
          </w:p>
        </w:tc>
        <w:tc>
          <w:tcPr>
            <w:tcW w:w="307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GDPR 数据最小化原则</w:t>
            </w:r>
          </w:p>
        </w:tc>
      </w:tr>
    </w:tbl>
    <w:p>
      <w:bookmarkStart w:id="moib2fygkim7zppp0lm" w:name="moib2fygkim7zppp0lm"/>
      <w:pPr>
        <w:pStyle w:val="dingding-heading2"/>
        <w:spacing w:before="200"/>
      </w:pPr>
      <w:r>
        <w:t xml:space="preserve">4.2 二次注册说明</w:t>
      </w:r>
      <w:bookmarkEnd w:id="moib2fygkim7zppp0lm"/>
    </w:p>
    <w:p>
      <w:pPr>
        <w:pStyle w:val="ListParagraph"/>
        <w:numPr>
          <w:ilvl w:val="0"/>
          <w:numId w:val="1"/>
        </w:numPr>
      </w:pPr>
      <w:r>
        <w:t xml:space="preserve">注销完成后如需重新注册，视为全新账户</w:t>
      </w:r>
    </w:p>
    <w:p>
      <w:pPr>
        <w:pStyle w:val="ListParagraph"/>
        <w:numPr>
          <w:ilvl w:val="0"/>
          <w:numId w:val="1"/>
        </w:numPr>
      </w:pPr>
      <w:r>
        <w:t xml:space="preserve">需重新完成 KYC 认证（人脸识别、身份证件上传）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不继承任何旧账户数据（余额、交易历史、卡片）</w:t>
      </w:r>
    </w:p>
    <w:p>
      <w:bookmarkStart w:id="moib2fyg6k4vlacsyc0" w:name="moib2fyg6k4vlacsyc0"/>
      <w:pPr>
        <w:pStyle w:val="dingding-heading1"/>
      </w:pPr>
      <w:r>
        <w:t xml:space="preserve">5. 异常场景处理</w:t>
      </w:r>
      <w:bookmarkEnd w:id="moib2fyg6k4vlacsyc0"/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2595"/>
        <w:gridCol w:w="4200"/>
      </w:tblGrid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场景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处理方案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卡片余额无法消费清零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暂不受理注销，引导用户联系客服退款或等待消费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Safeheron 转出失败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提示 Gas 不足或地址无效，支持重新提交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邮箱验证码未收到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支持重发（60s 冷却），引导检查垃圾邮件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第三方 API 超时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后台重试机制（最多 3 次），失败后人工介入</w:t>
            </w:r>
          </w:p>
        </w:tc>
      </w:tr>
      <w:tr>
        <w:trPr/>
        <w:tc>
          <w:tcPr>
            <w:tcW w:w="3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用户中途退出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保存当前进度，下次进入从上次中断处继续</w:t>
            </w:r>
          </w:p>
        </w:tc>
      </w:tr>
    </w:tbl>
    <w:p>
      <w:bookmarkStart w:id="moib2fygbn33weqc6fs" w:name="moib2fygbn33weqc6fs"/>
      <w:pPr>
        <w:pStyle w:val="dingding-heading1"/>
        <w:spacing w:before="200"/>
      </w:pPr>
      <w:r>
        <w:t xml:space="preserve">6. UI 原型参考</w:t>
      </w:r>
      <w:bookmarkEnd w:id="moib2fygbn33weqc6fs"/>
    </w:p>
    <w:p>
      <w:pPr>
        <w:spacing w:after="200"/>
      </w:pPr>
      <w:r>
        <w:t xml:space="preserve">已产出可交互 HTML 原型：</w:t>
      </w:r>
      <w:r>
        <w:rPr>
          <w:b w:val="1"/>
        </w:rPr>
        <w:t xml:space="preserve">YASBe_注销流程原型_2026-04-28.html</w:t>
      </w:r>
    </w:p>
    <w:p>
      <w:r>
        <w:t xml:space="preserve">原型包含 5 个页面：</w:t>
      </w:r>
    </w:p>
    <w:p>
      <w:pPr>
        <w:pStyle w:val="ListParagraph"/>
        <w:numPr>
          <w:ilvl w:val="0"/>
          <w:numId w:val="1"/>
        </w:numPr>
      </w:pPr>
      <w:r>
        <w:t xml:space="preserve">资格校验页（6 项检查清单）</w:t>
      </w:r>
    </w:p>
    <w:p>
      <w:pPr>
        <w:pStyle w:val="ListParagraph"/>
        <w:numPr>
          <w:ilvl w:val="0"/>
          <w:numId w:val="1"/>
        </w:numPr>
      </w:pPr>
      <w:r>
        <w:t xml:space="preserve">清空资产页（钱包转出 + 卡片消费子页面）</w:t>
      </w:r>
    </w:p>
    <w:p>
      <w:pPr>
        <w:pStyle w:val="ListParagraph"/>
        <w:numPr>
          <w:ilvl w:val="0"/>
          <w:numId w:val="1"/>
        </w:numPr>
      </w:pPr>
      <w:r>
        <w:t xml:space="preserve">身份验证页（密码 + 邮箱 OTP + 风险确认）</w:t>
      </w:r>
    </w:p>
    <w:p>
      <w:pPr>
        <w:pStyle w:val="ListParagraph"/>
        <w:numPr>
          <w:ilvl w:val="0"/>
          <w:numId w:val="1"/>
        </w:numPr>
      </w:pPr>
      <w:r>
        <w:t xml:space="preserve">处理进度页（实时进度条 + 步骤清单）</w:t>
      </w:r>
    </w:p>
    <w:p>
      <w:pPr>
        <w:pStyle w:val="ListParagraph"/>
        <w:numPr>
          <w:ilvl w:val="0"/>
          <w:numId w:val="1"/>
        </w:numPr>
      </w:pPr>
      <w:r>
        <w:t xml:space="preserve">注销完成页（结果通知 + 数据保留说明）</w:t>
      </w:r>
    </w:p>
    <w:p>
      <w:bookmarkStart w:id="moib2fygfiil70ot7h4" w:name="moib2fygfiil70ot7h4"/>
      <w:pPr>
        <w:pStyle w:val="dingding-heading1"/>
        <w:spacing w:before="200"/>
      </w:pPr>
      <w:r>
        <w:t xml:space="preserve">7. 待确认事项</w:t>
      </w:r>
      <w:bookmarkEnd w:id="moib2fygfiil70ot7h4"/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600"/>
        <w:gridCol w:w="3690"/>
        <w:gridCol w:w="2205"/>
      </w:tblGrid>
      <w:tr>
        <w:trPr/>
        <w:tc>
          <w:tcPr>
            <w:tcW w:w="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#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问题</w:t>
            </w:r>
          </w:p>
        </w:tc>
        <w:tc>
          <w:tcPr>
            <w:tcW w:w="3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涉及方</w:t>
            </w:r>
          </w:p>
        </w:tc>
      </w:tr>
      <w:tr>
        <w:trPr/>
        <w:tc>
          <w:tcPr>
            <w:tcW w:w="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1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Interlace 卡片余额（USD）能否通过 API 反向兑换为 USDT？</w:t>
            </w:r>
          </w:p>
        </w:tc>
        <w:tc>
          <w:tcPr>
            <w:tcW w:w="3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Interlace 技术团队</w:t>
            </w:r>
          </w:p>
        </w:tc>
      </w:tr>
      <w:tr>
        <w:trPr/>
        <w:tc>
          <w:tcPr>
            <w:tcW w:w="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2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Interlace 是否提供「关闭卡片」API？</w:t>
            </w:r>
          </w:p>
        </w:tc>
        <w:tc>
          <w:tcPr>
            <w:tcW w:w="3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Interlace 技术团队</w:t>
            </w:r>
          </w:p>
        </w:tc>
      </w:tr>
      <w:tr>
        <w:trPr/>
        <w:tc>
          <w:tcPr>
            <w:tcW w:w="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3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Safeheron 归档后是否需要人工介入完成最终关闭？</w:t>
            </w:r>
          </w:p>
        </w:tc>
        <w:tc>
          <w:tcPr>
            <w:tcW w:w="3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Safeheron 运营团队</w:t>
            </w:r>
          </w:p>
        </w:tc>
      </w:tr>
      <w:tr>
        <w:trPr/>
        <w:tc>
          <w:tcPr>
            <w:tcW w:w="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4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注销申请是否有冷静期（如 7 天反悔期）？</w:t>
            </w:r>
          </w:p>
        </w:tc>
        <w:tc>
          <w:tcPr>
            <w:tcW w:w="30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F8FAFC"/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法务/合规团队</w:t>
            </w:r>
          </w:p>
        </w:tc>
      </w:tr>
    </w:tbl>
    <w:p>
      <w:bookmarkStart w:id="moib2fygmwiwq3xunr7" w:name="moib2fygmwiwq3xunr7"/>
      <w:pPr>
        <w:pStyle w:val="dingding-heading1"/>
        <w:spacing w:before="200"/>
      </w:pPr>
      <w:r>
        <w:t xml:space="preserve">8. 版本历史</w:t>
      </w:r>
      <w:bookmarkEnd w:id="moib2fygmwiwq3xunr7"/>
    </w:p>
    <w:tbl>
      <w:tblPr>
        <w:tblStyle w:val="TableGrid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850"/>
        <w:gridCol w:w="1504"/>
        <w:gridCol w:w="3480"/>
      </w:tblGrid>
      <w:tr>
        <w:trPr/>
        <w:tc>
          <w:tcPr>
            <w:tcW w:w="1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版本</w:t>
            </w:r>
          </w:p>
        </w:tc>
        <w:tc>
          <w:tcPr>
            <w:tcW w:w="199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日期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  <w:shd w:val="clear" w:color="auto" w:fill="1E40AF"/>
          </w:tcPr>
          <w:p>
            <w:pPr>
              <w:jc w:val="left"/>
            </w:pPr>
            <w:r>
              <w:rPr>
                <w:sz w:val="22"/>
                <w:color w:val="FFFFFF"/>
                <w:b w:val="1"/>
              </w:rPr>
              <w:t xml:space="preserve">变更说明</w:t>
            </w:r>
          </w:p>
        </w:tc>
      </w:tr>
      <w:tr>
        <w:trPr/>
        <w:tc>
          <w:tcPr>
            <w:tcW w:w="160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v1.0</w:t>
            </w:r>
          </w:p>
        </w:tc>
        <w:tc>
          <w:tcPr>
            <w:tcW w:w="1999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2026-04-28</w:t>
            </w:r>
          </w:p>
        </w:tc>
        <w:tc>
          <w:tcPr>
            <w:tcW w:w="5760" w:type="dxa"/>
            <w:tcBorders>
              <w:bottom w:val="single" w:sz="2" w:space="0" w:color="CCCCCC"/>
              <w:top w:val="single" w:sz="2" w:space="0" w:color="CCCCCC"/>
              <w:right w:val="single" w:sz="2" w:space="0" w:color="CCCCCC"/>
              <w:left w:val="single" w:sz="2" w:space="0" w:color="CCCCCC"/>
            </w:tcBorders>
          </w:tcPr>
          <w:p>
            <w:pPr>
              <w:jc w:val="left"/>
            </w:pPr>
            <w:r>
              <w:rPr>
                <w:sz w:val="22"/>
                <w:color w:val="111827"/>
                <w:b w:val="0"/>
              </w:rPr>
              <w:t xml:space="preserve">初始版本，定义 4 阶段注销流程</w:t>
            </w:r>
          </w:p>
        </w:tc>
      </w:tr>
    </w:tbl>
    <w:p>
      <w:pPr/>
      <w:r/>
    </w:p>
    <w:sectPr>
      <w:headerReference w:type="default" r:id="rId4"/>
      <w:footerReference w:type="default" r:id="rId5"/>
      <w:pgSz w:w="16905" w:h="23820"/>
      <w:pgMar w:top="1440" w:right="1440" w:bottom="1440" w:left="1440" w:header="708" w:footer="708" w:gutter="0"/>
      <w:docGrid w:linePitch="360"/>
      <w:type w:val="nextPage"/>
    </w:sectPr>
  </w:body>
</w:document>
</file>

<file path=word/footer1.xml><?xml version="1.0" encoding="utf-8"?>
<w:ft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jc w:val="center"/>
    </w:pPr>
    <w:r>
      <w:rPr>
        <w:sz w:val="18"/>
        <w:color w:val="9CA3AF"/>
      </w:rPr>
      <w:t xml:space="preserve">第  页</w:t>
    </w:r>
  </w:p>
</w:ftr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jc w:val="right"/>
    </w:pPr>
    <w:r>
      <w:rPr>
        <w:sz w:val="18"/>
        <w:color w:val="9CA3AF"/>
      </w:rPr>
      <w:t xml:space="preserve">YASBe 账号注销功能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character" w:default="0" w:styleId="EndnoteReference">
    <w:name w:val="endnote reference"/>
    <w:basedOn w:val="DefaultParagraphFont"/>
    <w:tcPr/>
    <w:rPr>
      <w:vertAlign w:val="superscript"/>
    </w:rPr>
  </w:style>
  <w:style w:type="paragraph" w:default="0" w:styleId="EndnoteText">
    <w:name w:val="endnote text"/>
    <w:basedOn w:val="Normal"/>
    <w:tcPr/>
    <w:pPr>
      <w:spacing w:after="0" w:line="240" w:lineRule="auto"/>
    </w:pPr>
    <w:rPr>
      <w:sz w:val="20"/>
    </w:rPr>
  </w:style>
  <w:style w:type="character" w:default="0" w:styleId="EndnoteTextChar">
    <w:name w:val="Endnote Text Char"/>
    <w:basedOn w:val="DefaultParagraphFont"/>
    <w:tcPr/>
    <w:rPr>
      <w:sz w:val="20"/>
    </w:rPr>
  </w:style>
  <w:style w:type="character" w:default="0" w:styleId="FootnoteReference">
    <w:name w:val="footnote reference"/>
    <w:basedOn w:val="DefaultParagraphFont"/>
    <w:tcPr/>
    <w:rPr>
      <w:vertAlign w:val="superscript"/>
    </w:rPr>
  </w:style>
  <w:style w:type="paragraph" w:default="0" w:styleId="FootnoteText">
    <w:name w:val="footnote text"/>
    <w:basedOn w:val="Normal"/>
    <w:tcPr/>
    <w:pPr>
      <w:spacing w:after="0" w:line="240" w:lineRule="auto"/>
    </w:pPr>
    <w:rPr>
      <w:sz w:val="20"/>
    </w:rPr>
  </w:style>
  <w:style w:type="character" w:default="0" w:styleId="FootnoteTextChar">
    <w:name w:val="Footnote Text Char"/>
    <w:basedOn w:val="DefaultParagraphFont"/>
    <w:tcPr/>
    <w:rPr>
      <w:sz w:val="20"/>
    </w:rPr>
  </w:style>
  <w:style w:type="paragraph" w:default="0" w:styleId="Heading1">
    <w:name w:val="Heading 1"/>
    <w:basedOn w:val="Normal"/>
    <w:tcPr/>
    <w:rPr>
      <w:sz w:val="32"/>
      <w:color w:val="2E74B5"/>
    </w:rPr>
  </w:style>
  <w:style w:type="paragraph" w:default="0" w:styleId="Heading2">
    <w:name w:val="Heading 2"/>
    <w:basedOn w:val="Normal"/>
    <w:tcPr/>
    <w:rPr>
      <w:sz w:val="26"/>
      <w:color w:val="2E74B5"/>
    </w:rPr>
  </w:style>
  <w:style w:type="paragraph" w:default="0" w:styleId="Heading3">
    <w:name w:val="Heading 3"/>
    <w:basedOn w:val="Normal"/>
    <w:tcPr/>
    <w:rPr>
      <w:sz w:val="24"/>
      <w:color w:val="1F4D78"/>
    </w:rPr>
  </w:style>
  <w:style w:type="paragraph" w:default="0" w:styleId="Heading4">
    <w:name w:val="Heading 4"/>
    <w:basedOn w:val="Normal"/>
    <w:tcPr/>
    <w:rPr>
      <w:color w:val="2E74B5"/>
      <w:i w:val="1"/>
    </w:rPr>
  </w:style>
  <w:style w:type="paragraph" w:default="0" w:styleId="Heading5">
    <w:name w:val="Heading 5"/>
    <w:basedOn w:val="Normal"/>
    <w:tcPr/>
    <w:rPr>
      <w:color w:val="2E74B5"/>
    </w:rPr>
  </w:style>
  <w:style w:type="paragraph" w:default="0" w:styleId="Heading6">
    <w:name w:val="Heading 6"/>
    <w:basedOn w:val="Normal"/>
    <w:tcPr/>
    <w:rPr>
      <w:color w:val="1F4D78"/>
    </w:rPr>
  </w:style>
  <w:style w:type="character" w:default="0" w:styleId="Hyperlink">
    <w:name w:val="Hyperlink"/>
    <w:basedOn w:val="DefaultParagraphFont"/>
    <w:tcPr/>
    <w:rPr>
      <w:color w:val="0563C1"/>
      <w:u w:val="single"/>
    </w:rPr>
  </w:style>
  <w:style w:type="paragraph" w:default="0" w:styleId="ListParagraph">
    <w:name w:val="List Paragraph"/>
    <w:basedOn w:val="Normal"/>
    <w:tcPr/>
  </w:style>
  <w:style w:type="paragraph" w:default="0" w:styleId="Strong">
    <w:name w:val="Strong"/>
    <w:basedOn w:val="Normal"/>
    <w:tcPr/>
    <w:rPr>
      <w:b w:val="1"/>
    </w:rPr>
  </w:style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Title">
    <w:name w:val="Title"/>
    <w:basedOn w:val="Normal"/>
    <w:tcPr/>
    <w:rPr>
      <w:sz w:val="56"/>
    </w:rPr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eader" Target="header1.xml" />
  <Relationship Id="rId5" Type="http://schemas.openxmlformats.org/officeDocument/2006/relationships/footer" Target="footer1.xml" />
  <Relationship Id="rId6" Type="http://schemas.openxmlformats.org/officeDocument/2006/relationships/hyperlink" Target="https://alidocs.dingtalk.com/document/edit?chInfo=im&amp;cid=76593036596&amp;dentryKey=75ZeANm2UrNPWg75&amp;docKey=eLbnj1bKRLbxvlaN&amp;dontjump=true&amp;iframeQuery=anchorId%3DX02mojt8itdg2dbkz4i7nk&amp;type=d&amp;utm_medium=im_card&amp;utm_source=i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