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E4FF6">
      <w:pPr>
        <w:pStyle w:val="31"/>
        <w:jc w:val="center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模型根因分析</w:t>
      </w:r>
      <w:r>
        <w:rPr>
          <w:rFonts w:hint="eastAsia" w:ascii="微软雅黑" w:hAnsi="微软雅黑" w:eastAsia="微软雅黑" w:cs="微软雅黑"/>
          <w:b/>
          <w:bCs/>
        </w:rPr>
        <w:t>报</w:t>
      </w:r>
      <w:r>
        <w:rPr>
          <w:rFonts w:hint="eastAsia" w:ascii="微软雅黑" w:hAnsi="微软雅黑" w:eastAsia="微软雅黑" w:cs="微软雅黑"/>
          <w:b/>
          <w:bCs/>
        </w:rPr>
        <w:t>告（全</w:t>
      </w:r>
      <w:r>
        <w:rPr>
          <w:rFonts w:hint="eastAsia" w:ascii="微软雅黑" w:hAnsi="微软雅黑" w:eastAsia="微软雅黑" w:cs="微软雅黑"/>
          <w:b/>
          <w:bCs/>
        </w:rPr>
        <w:t>场</w:t>
      </w:r>
      <w:r>
        <w:rPr>
          <w:rFonts w:hint="eastAsia" w:ascii="微软雅黑" w:hAnsi="微软雅黑" w:eastAsia="微软雅黑" w:cs="微软雅黑"/>
          <w:b/>
          <w:bCs/>
        </w:rPr>
        <w:t>景合并）</w:t>
      </w:r>
      <w:bookmarkStart w:id="0" w:name="_GoBack"/>
      <w:bookmarkEnd w:id="0"/>
    </w:p>
    <w:p w14:paraId="26D04C94">
      <w:pPr>
        <w:jc w:val="center"/>
      </w:pPr>
      <w:r>
        <w:rPr>
          <w:rFonts w:ascii="Times New Roman" w:hAnsi="Times New Roman" w:eastAsia="宋体"/>
          <w:color w:val="606060"/>
          <w:sz w:val="20"/>
        </w:rPr>
        <w:t>生成时间：2026-08-25 13:10</w:t>
      </w:r>
    </w:p>
    <w:p w14:paraId="6134C23B">
      <w:pPr>
        <w:pStyle w:val="3"/>
      </w:pPr>
      <w:r>
        <w:rPr>
          <w:rFonts w:ascii="Times New Roman" w:hAnsi="Times New Roman" w:eastAsia="宋体"/>
        </w:rPr>
        <w:t>1. 场景 oot_2026_01：真实OOT验证</w:t>
      </w:r>
    </w:p>
    <w:p w14:paraId="7D4E8ADB">
      <w:pPr>
        <w:pStyle w:val="4"/>
      </w:pPr>
      <w:r>
        <w:rPr>
          <w:rFonts w:ascii="Times New Roman" w:hAnsi="Times New Roman" w:eastAsia="宋体"/>
        </w:rPr>
        <w:t>第一轮（2026-01）</w:t>
      </w:r>
    </w:p>
    <w:p w14:paraId="4EB193BE">
      <w:r>
        <w:t>HIGH：无</w:t>
      </w:r>
    </w:p>
    <w:p w14:paraId="2F24F959">
      <w:r>
        <w:t>MEDIUM：坏账率变化</w:t>
      </w:r>
    </w:p>
    <w:p w14:paraId="203D98C3">
      <w:r>
        <w:t>推荐策略：standard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4EAB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16FBA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诊断项</w:t>
            </w:r>
          </w:p>
        </w:tc>
        <w:tc>
          <w:tcPr>
            <w:tcW w:w="2880" w:type="dxa"/>
          </w:tcPr>
          <w:p w14:paraId="2B15C98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583CBF2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1710B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529BE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坏账率变化</w:t>
            </w:r>
          </w:p>
        </w:tc>
        <w:tc>
          <w:tcPr>
            <w:tcW w:w="2880" w:type="dxa"/>
          </w:tcPr>
          <w:p w14:paraId="7485DEE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1.0000</w:t>
            </w:r>
          </w:p>
        </w:tc>
        <w:tc>
          <w:tcPr>
            <w:tcW w:w="2880" w:type="dxa"/>
          </w:tcPr>
          <w:p w14:paraId="47196AB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MEDIUM</w:t>
            </w:r>
          </w:p>
        </w:tc>
      </w:tr>
      <w:tr w14:paraId="77727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75F50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客群结构偏移</w:t>
            </w:r>
          </w:p>
        </w:tc>
        <w:tc>
          <w:tcPr>
            <w:tcW w:w="2880" w:type="dxa"/>
          </w:tcPr>
          <w:p w14:paraId="6D30B40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0.0199</w:t>
            </w:r>
          </w:p>
        </w:tc>
        <w:tc>
          <w:tcPr>
            <w:tcW w:w="2880" w:type="dxa"/>
          </w:tcPr>
          <w:p w14:paraId="2762045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72DF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6BE4F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KS衰减</w:t>
            </w:r>
          </w:p>
        </w:tc>
        <w:tc>
          <w:tcPr>
            <w:tcW w:w="2880" w:type="dxa"/>
          </w:tcPr>
          <w:p w14:paraId="0B743DF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0.0291</w:t>
            </w:r>
          </w:p>
        </w:tc>
        <w:tc>
          <w:tcPr>
            <w:tcW w:w="2880" w:type="dxa"/>
          </w:tcPr>
          <w:p w14:paraId="6F4FAD1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74E7E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FB09B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AUC衰减</w:t>
            </w:r>
          </w:p>
        </w:tc>
        <w:tc>
          <w:tcPr>
            <w:tcW w:w="2880" w:type="dxa"/>
          </w:tcPr>
          <w:p w14:paraId="55F9044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0.0161</w:t>
            </w:r>
          </w:p>
        </w:tc>
        <w:tc>
          <w:tcPr>
            <w:tcW w:w="2880" w:type="dxa"/>
          </w:tcPr>
          <w:p w14:paraId="40D95DA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1FAC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19EB1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过拟合与泄漏</w:t>
            </w:r>
          </w:p>
        </w:tc>
        <w:tc>
          <w:tcPr>
            <w:tcW w:w="2880" w:type="dxa"/>
          </w:tcPr>
          <w:p w14:paraId="22CABE4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0.0210</w:t>
            </w:r>
          </w:p>
        </w:tc>
        <w:tc>
          <w:tcPr>
            <w:tcW w:w="2880" w:type="dxa"/>
          </w:tcPr>
          <w:p w14:paraId="43566D7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53901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B2179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归因项</w:t>
            </w:r>
          </w:p>
        </w:tc>
        <w:tc>
          <w:tcPr>
            <w:tcW w:w="2880" w:type="dxa"/>
          </w:tcPr>
          <w:p w14:paraId="5EF7563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0014DD9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341EE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5783E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IV衰减</w:t>
            </w:r>
          </w:p>
        </w:tc>
        <w:tc>
          <w:tcPr>
            <w:tcW w:w="2880" w:type="dxa"/>
          </w:tcPr>
          <w:p w14:paraId="7A10D70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5F325FA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4F257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24D41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重要性偏移</w:t>
            </w:r>
          </w:p>
        </w:tc>
        <w:tc>
          <w:tcPr>
            <w:tcW w:w="2880" w:type="dxa"/>
          </w:tcPr>
          <w:p w14:paraId="57FA153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6D542E9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0346C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646AB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群体性PSI</w:t>
            </w:r>
          </w:p>
        </w:tc>
        <w:tc>
          <w:tcPr>
            <w:tcW w:w="2880" w:type="dxa"/>
          </w:tcPr>
          <w:p w14:paraId="7436414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423DA62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7D74D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C8143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单点PSI</w:t>
            </w:r>
          </w:p>
        </w:tc>
        <w:tc>
          <w:tcPr>
            <w:tcW w:w="2880" w:type="dxa"/>
          </w:tcPr>
          <w:p w14:paraId="4641474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0.0011</w:t>
            </w:r>
          </w:p>
        </w:tc>
        <w:tc>
          <w:tcPr>
            <w:tcW w:w="2880" w:type="dxa"/>
          </w:tcPr>
          <w:p w14:paraId="5EAE039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22178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DD6C4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缺失与越界</w:t>
            </w:r>
          </w:p>
        </w:tc>
        <w:tc>
          <w:tcPr>
            <w:tcW w:w="2880" w:type="dxa"/>
          </w:tcPr>
          <w:p w14:paraId="7522D27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14DE132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</w:tbl>
    <w:p w14:paraId="11C1DD5F"/>
    <w:p w14:paraId="11FF1054">
      <w:pPr>
        <w:pStyle w:val="3"/>
      </w:pPr>
      <w:r>
        <w:rPr>
          <w:rFonts w:ascii="Times New Roman" w:hAnsi="Times New Roman" w:eastAsia="宋体"/>
        </w:rPr>
        <w:t>2. 场景 parallel_A：无漂移场景</w:t>
      </w:r>
    </w:p>
    <w:p w14:paraId="6BE4792F">
      <w:pPr>
        <w:pStyle w:val="4"/>
      </w:pPr>
      <w:r>
        <w:rPr>
          <w:rFonts w:ascii="Times New Roman" w:hAnsi="Times New Roman" w:eastAsia="宋体"/>
        </w:rPr>
        <w:t>第一轮（2026-01）</w:t>
      </w:r>
    </w:p>
    <w:p w14:paraId="55CF76EC">
      <w:r>
        <w:t>HIGH：无</w:t>
      </w:r>
    </w:p>
    <w:p w14:paraId="0DEA7A62">
      <w:r>
        <w:t>MEDIUM：无</w:t>
      </w:r>
    </w:p>
    <w:p w14:paraId="55A29F4D">
      <w:r>
        <w:t>推荐策略：none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A995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7C879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诊断项</w:t>
            </w:r>
          </w:p>
        </w:tc>
        <w:tc>
          <w:tcPr>
            <w:tcW w:w="2880" w:type="dxa"/>
          </w:tcPr>
          <w:p w14:paraId="759E9C9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5703398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3BF30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420E0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坏账率变化</w:t>
            </w:r>
          </w:p>
        </w:tc>
        <w:tc>
          <w:tcPr>
            <w:tcW w:w="2880" w:type="dxa"/>
          </w:tcPr>
          <w:p w14:paraId="4EABCF1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-0.0200</w:t>
            </w:r>
          </w:p>
        </w:tc>
        <w:tc>
          <w:tcPr>
            <w:tcW w:w="2880" w:type="dxa"/>
          </w:tcPr>
          <w:p w14:paraId="3188498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41FBE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83520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客群结构偏移</w:t>
            </w:r>
          </w:p>
        </w:tc>
        <w:tc>
          <w:tcPr>
            <w:tcW w:w="2880" w:type="dxa"/>
          </w:tcPr>
          <w:p w14:paraId="416EA14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0.0221</w:t>
            </w:r>
          </w:p>
        </w:tc>
        <w:tc>
          <w:tcPr>
            <w:tcW w:w="2880" w:type="dxa"/>
          </w:tcPr>
          <w:p w14:paraId="02113CB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1D831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D4E2B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KS衰减</w:t>
            </w:r>
          </w:p>
        </w:tc>
        <w:tc>
          <w:tcPr>
            <w:tcW w:w="2880" w:type="dxa"/>
          </w:tcPr>
          <w:p w14:paraId="3C2E7F2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-0.0258</w:t>
            </w:r>
          </w:p>
        </w:tc>
        <w:tc>
          <w:tcPr>
            <w:tcW w:w="2880" w:type="dxa"/>
          </w:tcPr>
          <w:p w14:paraId="106E088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57890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4E698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AUC衰减</w:t>
            </w:r>
          </w:p>
        </w:tc>
        <w:tc>
          <w:tcPr>
            <w:tcW w:w="2880" w:type="dxa"/>
          </w:tcPr>
          <w:p w14:paraId="0ABD61D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-0.0074</w:t>
            </w:r>
          </w:p>
        </w:tc>
        <w:tc>
          <w:tcPr>
            <w:tcW w:w="2880" w:type="dxa"/>
          </w:tcPr>
          <w:p w14:paraId="6A32FA7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02E85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CB601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过拟合与泄漏</w:t>
            </w:r>
          </w:p>
        </w:tc>
        <w:tc>
          <w:tcPr>
            <w:tcW w:w="2880" w:type="dxa"/>
          </w:tcPr>
          <w:p w14:paraId="5125D04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2880" w:type="dxa"/>
          </w:tcPr>
          <w:p w14:paraId="6CD9E8D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E3CC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8E840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归因项</w:t>
            </w:r>
          </w:p>
        </w:tc>
        <w:tc>
          <w:tcPr>
            <w:tcW w:w="2880" w:type="dxa"/>
          </w:tcPr>
          <w:p w14:paraId="1136568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74EFA7C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08B9F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0D190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IV衰减</w:t>
            </w:r>
          </w:p>
        </w:tc>
        <w:tc>
          <w:tcPr>
            <w:tcW w:w="2880" w:type="dxa"/>
          </w:tcPr>
          <w:p w14:paraId="4AB244B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0064E31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516F9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0D971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重要性偏移</w:t>
            </w:r>
          </w:p>
        </w:tc>
        <w:tc>
          <w:tcPr>
            <w:tcW w:w="2880" w:type="dxa"/>
          </w:tcPr>
          <w:p w14:paraId="0B7B817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0CA894F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2409C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6A5C1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群体性PSI</w:t>
            </w:r>
          </w:p>
        </w:tc>
        <w:tc>
          <w:tcPr>
            <w:tcW w:w="2880" w:type="dxa"/>
          </w:tcPr>
          <w:p w14:paraId="7B13C31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691143C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EF09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DE651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单点PSI</w:t>
            </w:r>
          </w:p>
        </w:tc>
        <w:tc>
          <w:tcPr>
            <w:tcW w:w="2880" w:type="dxa"/>
          </w:tcPr>
          <w:p w14:paraId="72C3A5A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0.0010</w:t>
            </w:r>
          </w:p>
        </w:tc>
        <w:tc>
          <w:tcPr>
            <w:tcW w:w="2880" w:type="dxa"/>
          </w:tcPr>
          <w:p w14:paraId="52D46EA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5AFBF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16A41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缺失与越界</w:t>
            </w:r>
          </w:p>
        </w:tc>
        <w:tc>
          <w:tcPr>
            <w:tcW w:w="2880" w:type="dxa"/>
          </w:tcPr>
          <w:p w14:paraId="68907D7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6D336FB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</w:tbl>
    <w:p w14:paraId="6AC6A4DE"/>
    <w:p w14:paraId="6D2321FF">
      <w:pPr>
        <w:pStyle w:val="4"/>
      </w:pPr>
      <w:r>
        <w:rPr>
          <w:rFonts w:ascii="Times New Roman" w:hAnsi="Times New Roman" w:eastAsia="宋体"/>
        </w:rPr>
        <w:t>第二轮（2026-02）</w:t>
      </w:r>
    </w:p>
    <w:p w14:paraId="6BE7A6D1">
      <w:r>
        <w:t>HIGH：无</w:t>
      </w:r>
    </w:p>
    <w:p w14:paraId="48B27279">
      <w:r>
        <w:t>MEDIUM：无</w:t>
      </w:r>
    </w:p>
    <w:p w14:paraId="05CBF8FB">
      <w:r>
        <w:t>推荐策略：none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0A34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EE817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诊断项</w:t>
            </w:r>
          </w:p>
        </w:tc>
        <w:tc>
          <w:tcPr>
            <w:tcW w:w="2880" w:type="dxa"/>
          </w:tcPr>
          <w:p w14:paraId="69C4DE6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62426D8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7F23F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D3D78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坏账率变化</w:t>
            </w:r>
          </w:p>
        </w:tc>
        <w:tc>
          <w:tcPr>
            <w:tcW w:w="2880" w:type="dxa"/>
          </w:tcPr>
          <w:p w14:paraId="1DD9657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0.0650</w:t>
            </w:r>
          </w:p>
        </w:tc>
        <w:tc>
          <w:tcPr>
            <w:tcW w:w="2880" w:type="dxa"/>
          </w:tcPr>
          <w:p w14:paraId="1D3B9AD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5AB7C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DA53E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客群结构偏移</w:t>
            </w:r>
          </w:p>
        </w:tc>
        <w:tc>
          <w:tcPr>
            <w:tcW w:w="2880" w:type="dxa"/>
          </w:tcPr>
          <w:p w14:paraId="475B180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0.0110</w:t>
            </w:r>
          </w:p>
        </w:tc>
        <w:tc>
          <w:tcPr>
            <w:tcW w:w="2880" w:type="dxa"/>
          </w:tcPr>
          <w:p w14:paraId="7CCC866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094B4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FE719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KS衰减</w:t>
            </w:r>
          </w:p>
        </w:tc>
        <w:tc>
          <w:tcPr>
            <w:tcW w:w="2880" w:type="dxa"/>
          </w:tcPr>
          <w:p w14:paraId="754D6FB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-0.0527</w:t>
            </w:r>
          </w:p>
        </w:tc>
        <w:tc>
          <w:tcPr>
            <w:tcW w:w="2880" w:type="dxa"/>
          </w:tcPr>
          <w:p w14:paraId="566E9A3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3A422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75125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AUC衰减</w:t>
            </w:r>
          </w:p>
        </w:tc>
        <w:tc>
          <w:tcPr>
            <w:tcW w:w="2880" w:type="dxa"/>
          </w:tcPr>
          <w:p w14:paraId="58A37D0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-0.0125</w:t>
            </w:r>
          </w:p>
        </w:tc>
        <w:tc>
          <w:tcPr>
            <w:tcW w:w="2880" w:type="dxa"/>
          </w:tcPr>
          <w:p w14:paraId="3128ACE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4A8B1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E910D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过拟合与泄漏</w:t>
            </w:r>
          </w:p>
        </w:tc>
        <w:tc>
          <w:tcPr>
            <w:tcW w:w="2880" w:type="dxa"/>
          </w:tcPr>
          <w:p w14:paraId="76288D0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2880" w:type="dxa"/>
          </w:tcPr>
          <w:p w14:paraId="22AAE37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07DD5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2B760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归因项</w:t>
            </w:r>
          </w:p>
        </w:tc>
        <w:tc>
          <w:tcPr>
            <w:tcW w:w="2880" w:type="dxa"/>
          </w:tcPr>
          <w:p w14:paraId="6D714E0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459A452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0D879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220A7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IV衰减</w:t>
            </w:r>
          </w:p>
        </w:tc>
        <w:tc>
          <w:tcPr>
            <w:tcW w:w="2880" w:type="dxa"/>
          </w:tcPr>
          <w:p w14:paraId="2B3C4FD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3228543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3C5C0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89FF4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重要性偏移</w:t>
            </w:r>
          </w:p>
        </w:tc>
        <w:tc>
          <w:tcPr>
            <w:tcW w:w="2880" w:type="dxa"/>
          </w:tcPr>
          <w:p w14:paraId="1B4DF3D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68A39BF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3EC8F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86B04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群体性PSI</w:t>
            </w:r>
          </w:p>
        </w:tc>
        <w:tc>
          <w:tcPr>
            <w:tcW w:w="2880" w:type="dxa"/>
          </w:tcPr>
          <w:p w14:paraId="67F3B84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583BEA0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D487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CEED0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单点PSI</w:t>
            </w:r>
          </w:p>
        </w:tc>
        <w:tc>
          <w:tcPr>
            <w:tcW w:w="2880" w:type="dxa"/>
          </w:tcPr>
          <w:p w14:paraId="0A663EA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0.0007</w:t>
            </w:r>
          </w:p>
        </w:tc>
        <w:tc>
          <w:tcPr>
            <w:tcW w:w="2880" w:type="dxa"/>
          </w:tcPr>
          <w:p w14:paraId="0AA055A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2C1EF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9F70D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缺失与越界</w:t>
            </w:r>
          </w:p>
        </w:tc>
        <w:tc>
          <w:tcPr>
            <w:tcW w:w="2880" w:type="dxa"/>
          </w:tcPr>
          <w:p w14:paraId="04DBD8C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507ACA4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</w:tbl>
    <w:p w14:paraId="1AB90835"/>
    <w:p w14:paraId="171EEC49">
      <w:pPr>
        <w:pStyle w:val="4"/>
      </w:pPr>
      <w:r>
        <w:rPr>
          <w:rFonts w:ascii="Times New Roman" w:hAnsi="Times New Roman" w:eastAsia="宋体"/>
        </w:rPr>
        <w:t>第三轮（2026-03）</w:t>
      </w:r>
    </w:p>
    <w:p w14:paraId="277359E9">
      <w:r>
        <w:t>HIGH：无</w:t>
      </w:r>
    </w:p>
    <w:p w14:paraId="64C0A865">
      <w:r>
        <w:t>MEDIUM：无</w:t>
      </w:r>
    </w:p>
    <w:p w14:paraId="4EBF0BDC">
      <w:r>
        <w:t>推荐策略：none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05C6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91EF2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诊断项</w:t>
            </w:r>
          </w:p>
        </w:tc>
        <w:tc>
          <w:tcPr>
            <w:tcW w:w="2880" w:type="dxa"/>
          </w:tcPr>
          <w:p w14:paraId="6A41497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0ECCA84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5B6E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76D3D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坏账率变化</w:t>
            </w:r>
          </w:p>
        </w:tc>
        <w:tc>
          <w:tcPr>
            <w:tcW w:w="2880" w:type="dxa"/>
          </w:tcPr>
          <w:p w14:paraId="3E9E654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-0.1200</w:t>
            </w:r>
          </w:p>
        </w:tc>
        <w:tc>
          <w:tcPr>
            <w:tcW w:w="2880" w:type="dxa"/>
          </w:tcPr>
          <w:p w14:paraId="2CE3205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25B56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84615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客群结构偏移</w:t>
            </w:r>
          </w:p>
        </w:tc>
        <w:tc>
          <w:tcPr>
            <w:tcW w:w="2880" w:type="dxa"/>
          </w:tcPr>
          <w:p w14:paraId="4D23E3E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0.0133</w:t>
            </w:r>
          </w:p>
        </w:tc>
        <w:tc>
          <w:tcPr>
            <w:tcW w:w="2880" w:type="dxa"/>
          </w:tcPr>
          <w:p w14:paraId="329C67F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0426A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AD133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KS衰减</w:t>
            </w:r>
          </w:p>
        </w:tc>
        <w:tc>
          <w:tcPr>
            <w:tcW w:w="2880" w:type="dxa"/>
          </w:tcPr>
          <w:p w14:paraId="7C794F8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-0.0582</w:t>
            </w:r>
          </w:p>
        </w:tc>
        <w:tc>
          <w:tcPr>
            <w:tcW w:w="2880" w:type="dxa"/>
          </w:tcPr>
          <w:p w14:paraId="6C3A65F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535F2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85654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AUC衰减</w:t>
            </w:r>
          </w:p>
        </w:tc>
        <w:tc>
          <w:tcPr>
            <w:tcW w:w="2880" w:type="dxa"/>
          </w:tcPr>
          <w:p w14:paraId="0651692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-0.0133</w:t>
            </w:r>
          </w:p>
        </w:tc>
        <w:tc>
          <w:tcPr>
            <w:tcW w:w="2880" w:type="dxa"/>
          </w:tcPr>
          <w:p w14:paraId="4AC33E5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037D8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9375E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过拟合与泄漏</w:t>
            </w:r>
          </w:p>
        </w:tc>
        <w:tc>
          <w:tcPr>
            <w:tcW w:w="2880" w:type="dxa"/>
          </w:tcPr>
          <w:p w14:paraId="61413B4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2880" w:type="dxa"/>
          </w:tcPr>
          <w:p w14:paraId="280BFEE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0E25D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0FC7A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归因项</w:t>
            </w:r>
          </w:p>
        </w:tc>
        <w:tc>
          <w:tcPr>
            <w:tcW w:w="2880" w:type="dxa"/>
          </w:tcPr>
          <w:p w14:paraId="05AE575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312B28B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46ECB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E6EFE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IV衰减</w:t>
            </w:r>
          </w:p>
        </w:tc>
        <w:tc>
          <w:tcPr>
            <w:tcW w:w="2880" w:type="dxa"/>
          </w:tcPr>
          <w:p w14:paraId="27F2D66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16C057C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E61E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D2857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重要性偏移</w:t>
            </w:r>
          </w:p>
        </w:tc>
        <w:tc>
          <w:tcPr>
            <w:tcW w:w="2880" w:type="dxa"/>
          </w:tcPr>
          <w:p w14:paraId="331945E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7214F2C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51B54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535B2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群体性PSI</w:t>
            </w:r>
          </w:p>
        </w:tc>
        <w:tc>
          <w:tcPr>
            <w:tcW w:w="2880" w:type="dxa"/>
          </w:tcPr>
          <w:p w14:paraId="4CFEE46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219ACB1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1B9E6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7D6CC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单点PSI</w:t>
            </w:r>
          </w:p>
        </w:tc>
        <w:tc>
          <w:tcPr>
            <w:tcW w:w="2880" w:type="dxa"/>
          </w:tcPr>
          <w:p w14:paraId="0808E43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0.0008</w:t>
            </w:r>
          </w:p>
        </w:tc>
        <w:tc>
          <w:tcPr>
            <w:tcW w:w="2880" w:type="dxa"/>
          </w:tcPr>
          <w:p w14:paraId="4DF530F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0F324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DD0E1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缺失与越界</w:t>
            </w:r>
          </w:p>
        </w:tc>
        <w:tc>
          <w:tcPr>
            <w:tcW w:w="2880" w:type="dxa"/>
          </w:tcPr>
          <w:p w14:paraId="40ECBF0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10E9B65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</w:tbl>
    <w:p w14:paraId="58B9F82A"/>
    <w:p w14:paraId="3A4A481E">
      <w:pPr>
        <w:pStyle w:val="3"/>
      </w:pPr>
      <w:r>
        <w:rPr>
          <w:rFonts w:ascii="Times New Roman" w:hAnsi="Times New Roman" w:eastAsia="宋体"/>
        </w:rPr>
        <w:t>3. 场景 parallel_B：轻量特征漂移</w:t>
      </w:r>
    </w:p>
    <w:p w14:paraId="3B9F53A4">
      <w:pPr>
        <w:pStyle w:val="4"/>
      </w:pPr>
      <w:r>
        <w:rPr>
          <w:rFonts w:ascii="Times New Roman" w:hAnsi="Times New Roman" w:eastAsia="宋体"/>
        </w:rPr>
        <w:t>第一轮（2026-01）</w:t>
      </w:r>
    </w:p>
    <w:p w14:paraId="618CDF92">
      <w:r>
        <w:t>HIGH：无</w:t>
      </w:r>
    </w:p>
    <w:p w14:paraId="74D326C7">
      <w:r>
        <w:t>MEDIUM：无</w:t>
      </w:r>
    </w:p>
    <w:p w14:paraId="2CFD2008">
      <w:r>
        <w:t>推荐策略：none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6974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75E9B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诊断项</w:t>
            </w:r>
          </w:p>
        </w:tc>
        <w:tc>
          <w:tcPr>
            <w:tcW w:w="2880" w:type="dxa"/>
          </w:tcPr>
          <w:p w14:paraId="3871D71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4657769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43751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80560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坏账率变化</w:t>
            </w:r>
          </w:p>
        </w:tc>
        <w:tc>
          <w:tcPr>
            <w:tcW w:w="2880" w:type="dxa"/>
          </w:tcPr>
          <w:p w14:paraId="6BB1AF0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-0.0200</w:t>
            </w:r>
          </w:p>
        </w:tc>
        <w:tc>
          <w:tcPr>
            <w:tcW w:w="2880" w:type="dxa"/>
          </w:tcPr>
          <w:p w14:paraId="6B830A7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514AC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A9EC6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客群结构偏移</w:t>
            </w:r>
          </w:p>
        </w:tc>
        <w:tc>
          <w:tcPr>
            <w:tcW w:w="2880" w:type="dxa"/>
          </w:tcPr>
          <w:p w14:paraId="0625BD3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0.1428</w:t>
            </w:r>
          </w:p>
        </w:tc>
        <w:tc>
          <w:tcPr>
            <w:tcW w:w="2880" w:type="dxa"/>
          </w:tcPr>
          <w:p w14:paraId="59F3F33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20E1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15C72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KS衰减</w:t>
            </w:r>
          </w:p>
        </w:tc>
        <w:tc>
          <w:tcPr>
            <w:tcW w:w="2880" w:type="dxa"/>
          </w:tcPr>
          <w:p w14:paraId="0BA2948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-0.0259</w:t>
            </w:r>
          </w:p>
        </w:tc>
        <w:tc>
          <w:tcPr>
            <w:tcW w:w="2880" w:type="dxa"/>
          </w:tcPr>
          <w:p w14:paraId="417A33C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72C27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A8415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AUC衰减</w:t>
            </w:r>
          </w:p>
        </w:tc>
        <w:tc>
          <w:tcPr>
            <w:tcW w:w="2880" w:type="dxa"/>
          </w:tcPr>
          <w:p w14:paraId="5BA77BA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-0.0073</w:t>
            </w:r>
          </w:p>
        </w:tc>
        <w:tc>
          <w:tcPr>
            <w:tcW w:w="2880" w:type="dxa"/>
          </w:tcPr>
          <w:p w14:paraId="723D7F9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DAD0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777E0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过拟合与泄漏</w:t>
            </w:r>
          </w:p>
        </w:tc>
        <w:tc>
          <w:tcPr>
            <w:tcW w:w="2880" w:type="dxa"/>
          </w:tcPr>
          <w:p w14:paraId="4D7DBD7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2880" w:type="dxa"/>
          </w:tcPr>
          <w:p w14:paraId="5873B7E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1070E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54E18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归因项</w:t>
            </w:r>
          </w:p>
        </w:tc>
        <w:tc>
          <w:tcPr>
            <w:tcW w:w="2880" w:type="dxa"/>
          </w:tcPr>
          <w:p w14:paraId="7331841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0D755AD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3BBDD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EF41B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IV衰减</w:t>
            </w:r>
          </w:p>
        </w:tc>
        <w:tc>
          <w:tcPr>
            <w:tcW w:w="2880" w:type="dxa"/>
          </w:tcPr>
          <w:p w14:paraId="73D1860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22C9632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1A83B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93C71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重要性偏移</w:t>
            </w:r>
          </w:p>
        </w:tc>
        <w:tc>
          <w:tcPr>
            <w:tcW w:w="2880" w:type="dxa"/>
          </w:tcPr>
          <w:p w14:paraId="3DEBED5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74E3B48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3A64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CFB4F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群体性PSI</w:t>
            </w:r>
          </w:p>
        </w:tc>
        <w:tc>
          <w:tcPr>
            <w:tcW w:w="2880" w:type="dxa"/>
          </w:tcPr>
          <w:p w14:paraId="7F6D376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65FAC99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18335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FF908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单点PSI</w:t>
            </w:r>
          </w:p>
        </w:tc>
        <w:tc>
          <w:tcPr>
            <w:tcW w:w="2880" w:type="dxa"/>
          </w:tcPr>
          <w:p w14:paraId="434EFB1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0.0026</w:t>
            </w:r>
          </w:p>
        </w:tc>
        <w:tc>
          <w:tcPr>
            <w:tcW w:w="2880" w:type="dxa"/>
          </w:tcPr>
          <w:p w14:paraId="6D35638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7579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2E1FB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缺失与越界</w:t>
            </w:r>
          </w:p>
        </w:tc>
        <w:tc>
          <w:tcPr>
            <w:tcW w:w="2880" w:type="dxa"/>
          </w:tcPr>
          <w:p w14:paraId="6E05647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205EFF2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</w:tbl>
    <w:p w14:paraId="35A1C01A"/>
    <w:p w14:paraId="7CA4D9D2">
      <w:pPr>
        <w:pStyle w:val="4"/>
      </w:pPr>
      <w:r>
        <w:rPr>
          <w:rFonts w:ascii="Times New Roman" w:hAnsi="Times New Roman" w:eastAsia="宋体"/>
        </w:rPr>
        <w:t>第二轮（2026-02）</w:t>
      </w:r>
    </w:p>
    <w:p w14:paraId="7FAFB162">
      <w:r>
        <w:t>HIGH：无</w:t>
      </w:r>
    </w:p>
    <w:p w14:paraId="71ED9BA9">
      <w:r>
        <w:t>MEDIUM：客群结构偏移</w:t>
      </w:r>
    </w:p>
    <w:p w14:paraId="7639E50D">
      <w:r>
        <w:t>推荐策略：light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A34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7B0FE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诊断项</w:t>
            </w:r>
          </w:p>
        </w:tc>
        <w:tc>
          <w:tcPr>
            <w:tcW w:w="2880" w:type="dxa"/>
          </w:tcPr>
          <w:p w14:paraId="7B85FF7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096F7DF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4337A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C1F62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坏账率变化</w:t>
            </w:r>
          </w:p>
        </w:tc>
        <w:tc>
          <w:tcPr>
            <w:tcW w:w="2880" w:type="dxa"/>
          </w:tcPr>
          <w:p w14:paraId="07655E6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0.0650</w:t>
            </w:r>
          </w:p>
        </w:tc>
        <w:tc>
          <w:tcPr>
            <w:tcW w:w="2880" w:type="dxa"/>
          </w:tcPr>
          <w:p w14:paraId="18548F7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3F69C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B7D99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客群结构偏移</w:t>
            </w:r>
          </w:p>
        </w:tc>
        <w:tc>
          <w:tcPr>
            <w:tcW w:w="2880" w:type="dxa"/>
          </w:tcPr>
          <w:p w14:paraId="67CBD2E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0.1794</w:t>
            </w:r>
          </w:p>
        </w:tc>
        <w:tc>
          <w:tcPr>
            <w:tcW w:w="2880" w:type="dxa"/>
          </w:tcPr>
          <w:p w14:paraId="24E2B92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MEDIUM</w:t>
            </w:r>
          </w:p>
        </w:tc>
      </w:tr>
      <w:tr w14:paraId="1E17D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EAC95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KS衰减</w:t>
            </w:r>
          </w:p>
        </w:tc>
        <w:tc>
          <w:tcPr>
            <w:tcW w:w="2880" w:type="dxa"/>
          </w:tcPr>
          <w:p w14:paraId="2BC5809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-0.0527</w:t>
            </w:r>
          </w:p>
        </w:tc>
        <w:tc>
          <w:tcPr>
            <w:tcW w:w="2880" w:type="dxa"/>
          </w:tcPr>
          <w:p w14:paraId="2A336D2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464E3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1809D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AUC衰减</w:t>
            </w:r>
          </w:p>
        </w:tc>
        <w:tc>
          <w:tcPr>
            <w:tcW w:w="2880" w:type="dxa"/>
          </w:tcPr>
          <w:p w14:paraId="6CE0C53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-0.0125</w:t>
            </w:r>
          </w:p>
        </w:tc>
        <w:tc>
          <w:tcPr>
            <w:tcW w:w="2880" w:type="dxa"/>
          </w:tcPr>
          <w:p w14:paraId="1A8AFBB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B1D9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EED2C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过拟合与泄漏</w:t>
            </w:r>
          </w:p>
        </w:tc>
        <w:tc>
          <w:tcPr>
            <w:tcW w:w="2880" w:type="dxa"/>
          </w:tcPr>
          <w:p w14:paraId="397E68D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2880" w:type="dxa"/>
          </w:tcPr>
          <w:p w14:paraId="5BD4434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1AE09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0DCFB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归因项</w:t>
            </w:r>
          </w:p>
        </w:tc>
        <w:tc>
          <w:tcPr>
            <w:tcW w:w="2880" w:type="dxa"/>
          </w:tcPr>
          <w:p w14:paraId="62DE4F4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5F58561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33EF3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7787D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IV衰减</w:t>
            </w:r>
          </w:p>
        </w:tc>
        <w:tc>
          <w:tcPr>
            <w:tcW w:w="2880" w:type="dxa"/>
          </w:tcPr>
          <w:p w14:paraId="01C3ABC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4B19772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339AE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EFF91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重要性偏移</w:t>
            </w:r>
          </w:p>
        </w:tc>
        <w:tc>
          <w:tcPr>
            <w:tcW w:w="2880" w:type="dxa"/>
          </w:tcPr>
          <w:p w14:paraId="63133E9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75C1714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9996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6A7F2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群体性PSI</w:t>
            </w:r>
          </w:p>
        </w:tc>
        <w:tc>
          <w:tcPr>
            <w:tcW w:w="2880" w:type="dxa"/>
          </w:tcPr>
          <w:p w14:paraId="0724EDC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74457DA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42B0B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AB0A7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单点PSI</w:t>
            </w:r>
          </w:p>
        </w:tc>
        <w:tc>
          <w:tcPr>
            <w:tcW w:w="2880" w:type="dxa"/>
          </w:tcPr>
          <w:p w14:paraId="7EEC5DF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0.0017</w:t>
            </w:r>
          </w:p>
        </w:tc>
        <w:tc>
          <w:tcPr>
            <w:tcW w:w="2880" w:type="dxa"/>
          </w:tcPr>
          <w:p w14:paraId="2F79A2E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34A8B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A5663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缺失与越界</w:t>
            </w:r>
          </w:p>
        </w:tc>
        <w:tc>
          <w:tcPr>
            <w:tcW w:w="2880" w:type="dxa"/>
          </w:tcPr>
          <w:p w14:paraId="3CCA5D4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0DF561E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</w:tbl>
    <w:p w14:paraId="48B4F118"/>
    <w:p w14:paraId="34D7927B">
      <w:pPr>
        <w:pStyle w:val="4"/>
      </w:pPr>
      <w:r>
        <w:rPr>
          <w:rFonts w:ascii="Times New Roman" w:hAnsi="Times New Roman" w:eastAsia="宋体"/>
        </w:rPr>
        <w:t>第三轮（2026-03）</w:t>
      </w:r>
    </w:p>
    <w:p w14:paraId="419A871F">
      <w:r>
        <w:t>HIGH：无</w:t>
      </w:r>
    </w:p>
    <w:p w14:paraId="3C6A4689">
      <w:r>
        <w:t>MEDIUM：客群结构偏移</w:t>
      </w:r>
    </w:p>
    <w:p w14:paraId="654DD22D">
      <w:r>
        <w:t>推荐策略：light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87A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C1653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诊断项</w:t>
            </w:r>
          </w:p>
        </w:tc>
        <w:tc>
          <w:tcPr>
            <w:tcW w:w="2880" w:type="dxa"/>
          </w:tcPr>
          <w:p w14:paraId="7C4ABA5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3532101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61E5A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8B78C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坏账率变化</w:t>
            </w:r>
          </w:p>
        </w:tc>
        <w:tc>
          <w:tcPr>
            <w:tcW w:w="2880" w:type="dxa"/>
          </w:tcPr>
          <w:p w14:paraId="2BEBD75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-0.1200</w:t>
            </w:r>
          </w:p>
        </w:tc>
        <w:tc>
          <w:tcPr>
            <w:tcW w:w="2880" w:type="dxa"/>
          </w:tcPr>
          <w:p w14:paraId="69D5152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4F05F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653C6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客群结构偏移</w:t>
            </w:r>
          </w:p>
        </w:tc>
        <w:tc>
          <w:tcPr>
            <w:tcW w:w="2880" w:type="dxa"/>
          </w:tcPr>
          <w:p w14:paraId="580F58B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0.2471</w:t>
            </w:r>
          </w:p>
        </w:tc>
        <w:tc>
          <w:tcPr>
            <w:tcW w:w="2880" w:type="dxa"/>
          </w:tcPr>
          <w:p w14:paraId="7E6CD72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MEDIUM</w:t>
            </w:r>
          </w:p>
        </w:tc>
      </w:tr>
      <w:tr w14:paraId="57030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4C02D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KS衰减</w:t>
            </w:r>
          </w:p>
        </w:tc>
        <w:tc>
          <w:tcPr>
            <w:tcW w:w="2880" w:type="dxa"/>
          </w:tcPr>
          <w:p w14:paraId="06A5549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-0.0522</w:t>
            </w:r>
          </w:p>
        </w:tc>
        <w:tc>
          <w:tcPr>
            <w:tcW w:w="2880" w:type="dxa"/>
          </w:tcPr>
          <w:p w14:paraId="731D5B8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2DC49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23383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AUC衰减</w:t>
            </w:r>
          </w:p>
        </w:tc>
        <w:tc>
          <w:tcPr>
            <w:tcW w:w="2880" w:type="dxa"/>
          </w:tcPr>
          <w:p w14:paraId="56F5043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-0.0105</w:t>
            </w:r>
          </w:p>
        </w:tc>
        <w:tc>
          <w:tcPr>
            <w:tcW w:w="2880" w:type="dxa"/>
          </w:tcPr>
          <w:p w14:paraId="20CA695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E31B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B45B5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过拟合与泄漏</w:t>
            </w:r>
          </w:p>
        </w:tc>
        <w:tc>
          <w:tcPr>
            <w:tcW w:w="2880" w:type="dxa"/>
          </w:tcPr>
          <w:p w14:paraId="3793D1A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2880" w:type="dxa"/>
          </w:tcPr>
          <w:p w14:paraId="6C382DF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7C86D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31668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归因项</w:t>
            </w:r>
          </w:p>
        </w:tc>
        <w:tc>
          <w:tcPr>
            <w:tcW w:w="2880" w:type="dxa"/>
          </w:tcPr>
          <w:p w14:paraId="481E937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12F64A9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23D44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036F0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IV衰减</w:t>
            </w:r>
          </w:p>
        </w:tc>
        <w:tc>
          <w:tcPr>
            <w:tcW w:w="2880" w:type="dxa"/>
          </w:tcPr>
          <w:p w14:paraId="0770889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444BD34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519FE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E1D21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重要性偏移</w:t>
            </w:r>
          </w:p>
        </w:tc>
        <w:tc>
          <w:tcPr>
            <w:tcW w:w="2880" w:type="dxa"/>
          </w:tcPr>
          <w:p w14:paraId="6734C2F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15B3400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2B398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DE130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群体性PSI</w:t>
            </w:r>
          </w:p>
        </w:tc>
        <w:tc>
          <w:tcPr>
            <w:tcW w:w="2880" w:type="dxa"/>
          </w:tcPr>
          <w:p w14:paraId="21D0650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4B3C286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D193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9C55A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单点PSI</w:t>
            </w:r>
          </w:p>
        </w:tc>
        <w:tc>
          <w:tcPr>
            <w:tcW w:w="2880" w:type="dxa"/>
          </w:tcPr>
          <w:p w14:paraId="55D8955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0.0673</w:t>
            </w:r>
          </w:p>
        </w:tc>
        <w:tc>
          <w:tcPr>
            <w:tcW w:w="2880" w:type="dxa"/>
          </w:tcPr>
          <w:p w14:paraId="348F77C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1A169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F9501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缺失与越界</w:t>
            </w:r>
          </w:p>
        </w:tc>
        <w:tc>
          <w:tcPr>
            <w:tcW w:w="2880" w:type="dxa"/>
          </w:tcPr>
          <w:p w14:paraId="54D24E5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4869111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</w:tbl>
    <w:p w14:paraId="107A8F0F"/>
    <w:p w14:paraId="269D5495">
      <w:pPr>
        <w:pStyle w:val="3"/>
      </w:pPr>
      <w:r>
        <w:rPr>
          <w:rFonts w:ascii="Times New Roman" w:hAnsi="Times New Roman" w:eastAsia="宋体"/>
        </w:rPr>
        <w:t>4. 场景 parallel_C：中度标签漂移</w:t>
      </w:r>
    </w:p>
    <w:p w14:paraId="71A35101">
      <w:pPr>
        <w:pStyle w:val="4"/>
      </w:pPr>
      <w:r>
        <w:rPr>
          <w:rFonts w:ascii="Times New Roman" w:hAnsi="Times New Roman" w:eastAsia="宋体"/>
        </w:rPr>
        <w:t>第一轮（2026-01）</w:t>
      </w:r>
    </w:p>
    <w:p w14:paraId="011696F4">
      <w:r>
        <w:t>HIGH：无</w:t>
      </w:r>
    </w:p>
    <w:p w14:paraId="01DC714A">
      <w:r>
        <w:t>MEDIUM：无</w:t>
      </w:r>
    </w:p>
    <w:p w14:paraId="72151566">
      <w:r>
        <w:t>推荐策略：none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FF3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67063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诊断项</w:t>
            </w:r>
          </w:p>
        </w:tc>
        <w:tc>
          <w:tcPr>
            <w:tcW w:w="2880" w:type="dxa"/>
          </w:tcPr>
          <w:p w14:paraId="7F0771C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20F2346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37609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CD199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坏账率变化</w:t>
            </w:r>
          </w:p>
        </w:tc>
        <w:tc>
          <w:tcPr>
            <w:tcW w:w="2880" w:type="dxa"/>
          </w:tcPr>
          <w:p w14:paraId="7BB5346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0.4600</w:t>
            </w:r>
          </w:p>
        </w:tc>
        <w:tc>
          <w:tcPr>
            <w:tcW w:w="2880" w:type="dxa"/>
          </w:tcPr>
          <w:p w14:paraId="28F81AD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5A596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5706C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客群结构偏移</w:t>
            </w:r>
          </w:p>
        </w:tc>
        <w:tc>
          <w:tcPr>
            <w:tcW w:w="2880" w:type="dxa"/>
          </w:tcPr>
          <w:p w14:paraId="2E2CDC1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0.0221</w:t>
            </w:r>
          </w:p>
        </w:tc>
        <w:tc>
          <w:tcPr>
            <w:tcW w:w="2880" w:type="dxa"/>
          </w:tcPr>
          <w:p w14:paraId="2CA337B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4C3DE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EF25C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KS衰减</w:t>
            </w:r>
          </w:p>
        </w:tc>
        <w:tc>
          <w:tcPr>
            <w:tcW w:w="2880" w:type="dxa"/>
          </w:tcPr>
          <w:p w14:paraId="4C18BB6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-0.0532</w:t>
            </w:r>
          </w:p>
        </w:tc>
        <w:tc>
          <w:tcPr>
            <w:tcW w:w="2880" w:type="dxa"/>
          </w:tcPr>
          <w:p w14:paraId="5458FD0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79883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63BB6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AUC衰减</w:t>
            </w:r>
          </w:p>
        </w:tc>
        <w:tc>
          <w:tcPr>
            <w:tcW w:w="2880" w:type="dxa"/>
          </w:tcPr>
          <w:p w14:paraId="6A3559A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-0.0091</w:t>
            </w:r>
          </w:p>
        </w:tc>
        <w:tc>
          <w:tcPr>
            <w:tcW w:w="2880" w:type="dxa"/>
          </w:tcPr>
          <w:p w14:paraId="19C9E3F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5FAE7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97B7F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过拟合与泄漏</w:t>
            </w:r>
          </w:p>
        </w:tc>
        <w:tc>
          <w:tcPr>
            <w:tcW w:w="2880" w:type="dxa"/>
          </w:tcPr>
          <w:p w14:paraId="63FB216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2880" w:type="dxa"/>
          </w:tcPr>
          <w:p w14:paraId="28BD315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2091C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0B43A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归因项</w:t>
            </w:r>
          </w:p>
        </w:tc>
        <w:tc>
          <w:tcPr>
            <w:tcW w:w="2880" w:type="dxa"/>
          </w:tcPr>
          <w:p w14:paraId="73E7A00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68452A1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5288F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0D65E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IV衰减</w:t>
            </w:r>
          </w:p>
        </w:tc>
        <w:tc>
          <w:tcPr>
            <w:tcW w:w="2880" w:type="dxa"/>
          </w:tcPr>
          <w:p w14:paraId="145DB97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3E10920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02EB8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7E936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重要性偏移</w:t>
            </w:r>
          </w:p>
        </w:tc>
        <w:tc>
          <w:tcPr>
            <w:tcW w:w="2880" w:type="dxa"/>
          </w:tcPr>
          <w:p w14:paraId="3CA1A4E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7B380CE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080FC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D7393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群体性PSI</w:t>
            </w:r>
          </w:p>
        </w:tc>
        <w:tc>
          <w:tcPr>
            <w:tcW w:w="2880" w:type="dxa"/>
          </w:tcPr>
          <w:p w14:paraId="751A253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74E148A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A279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70968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单点PSI</w:t>
            </w:r>
          </w:p>
        </w:tc>
        <w:tc>
          <w:tcPr>
            <w:tcW w:w="2880" w:type="dxa"/>
          </w:tcPr>
          <w:p w14:paraId="0AA16EA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0.0010</w:t>
            </w:r>
          </w:p>
        </w:tc>
        <w:tc>
          <w:tcPr>
            <w:tcW w:w="2880" w:type="dxa"/>
          </w:tcPr>
          <w:p w14:paraId="135609C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5D7EB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05BFB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缺失与越界</w:t>
            </w:r>
          </w:p>
        </w:tc>
        <w:tc>
          <w:tcPr>
            <w:tcW w:w="2880" w:type="dxa"/>
          </w:tcPr>
          <w:p w14:paraId="3740DBC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2A394BD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</w:tbl>
    <w:p w14:paraId="3786FC2D"/>
    <w:p w14:paraId="6FA8DBE5">
      <w:pPr>
        <w:pStyle w:val="4"/>
      </w:pPr>
      <w:r>
        <w:rPr>
          <w:rFonts w:ascii="Times New Roman" w:hAnsi="Times New Roman" w:eastAsia="宋体"/>
        </w:rPr>
        <w:t>第二轮（2026-02）</w:t>
      </w:r>
    </w:p>
    <w:p w14:paraId="772354FB">
      <w:r>
        <w:t>HIGH：无</w:t>
      </w:r>
    </w:p>
    <w:p w14:paraId="743EF02B">
      <w:r>
        <w:t>MEDIUM：坏账率变化</w:t>
      </w:r>
    </w:p>
    <w:p w14:paraId="4DB4465C">
      <w:r>
        <w:t>推荐策略：standard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3B7D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E129E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诊断项</w:t>
            </w:r>
          </w:p>
        </w:tc>
        <w:tc>
          <w:tcPr>
            <w:tcW w:w="2880" w:type="dxa"/>
          </w:tcPr>
          <w:p w14:paraId="723E593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083FF3E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1A7C7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3C0B8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坏账率变化</w:t>
            </w:r>
          </w:p>
        </w:tc>
        <w:tc>
          <w:tcPr>
            <w:tcW w:w="2880" w:type="dxa"/>
          </w:tcPr>
          <w:p w14:paraId="2A0F553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1.0250</w:t>
            </w:r>
          </w:p>
        </w:tc>
        <w:tc>
          <w:tcPr>
            <w:tcW w:w="2880" w:type="dxa"/>
          </w:tcPr>
          <w:p w14:paraId="72B196E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MEDIUM</w:t>
            </w:r>
          </w:p>
        </w:tc>
      </w:tr>
      <w:tr w14:paraId="1860E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CC890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客群结构偏移</w:t>
            </w:r>
          </w:p>
        </w:tc>
        <w:tc>
          <w:tcPr>
            <w:tcW w:w="2880" w:type="dxa"/>
          </w:tcPr>
          <w:p w14:paraId="3DE2D25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0.0110</w:t>
            </w:r>
          </w:p>
        </w:tc>
        <w:tc>
          <w:tcPr>
            <w:tcW w:w="2880" w:type="dxa"/>
          </w:tcPr>
          <w:p w14:paraId="0074918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7D130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B225D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KS衰减</w:t>
            </w:r>
          </w:p>
        </w:tc>
        <w:tc>
          <w:tcPr>
            <w:tcW w:w="2880" w:type="dxa"/>
          </w:tcPr>
          <w:p w14:paraId="2BB584C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-0.0689</w:t>
            </w:r>
          </w:p>
        </w:tc>
        <w:tc>
          <w:tcPr>
            <w:tcW w:w="2880" w:type="dxa"/>
          </w:tcPr>
          <w:p w14:paraId="5E157F9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7D922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E6ED0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AUC衰减</w:t>
            </w:r>
          </w:p>
        </w:tc>
        <w:tc>
          <w:tcPr>
            <w:tcW w:w="2880" w:type="dxa"/>
          </w:tcPr>
          <w:p w14:paraId="4413735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-0.0032</w:t>
            </w:r>
          </w:p>
        </w:tc>
        <w:tc>
          <w:tcPr>
            <w:tcW w:w="2880" w:type="dxa"/>
          </w:tcPr>
          <w:p w14:paraId="3DD407A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5CF27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18616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过拟合与泄漏</w:t>
            </w:r>
          </w:p>
        </w:tc>
        <w:tc>
          <w:tcPr>
            <w:tcW w:w="2880" w:type="dxa"/>
          </w:tcPr>
          <w:p w14:paraId="61AF321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2880" w:type="dxa"/>
          </w:tcPr>
          <w:p w14:paraId="3BE2B13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2C175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1C7F4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归因项</w:t>
            </w:r>
          </w:p>
        </w:tc>
        <w:tc>
          <w:tcPr>
            <w:tcW w:w="2880" w:type="dxa"/>
          </w:tcPr>
          <w:p w14:paraId="1D4D340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2FCA5E2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2FC03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6A996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IV衰减</w:t>
            </w:r>
          </w:p>
        </w:tc>
        <w:tc>
          <w:tcPr>
            <w:tcW w:w="2880" w:type="dxa"/>
          </w:tcPr>
          <w:p w14:paraId="4991164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411A69A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10FC6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34051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重要性偏移</w:t>
            </w:r>
          </w:p>
        </w:tc>
        <w:tc>
          <w:tcPr>
            <w:tcW w:w="2880" w:type="dxa"/>
          </w:tcPr>
          <w:p w14:paraId="5D2D297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43DB63A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4E0E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81E8C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群体性PSI</w:t>
            </w:r>
          </w:p>
        </w:tc>
        <w:tc>
          <w:tcPr>
            <w:tcW w:w="2880" w:type="dxa"/>
          </w:tcPr>
          <w:p w14:paraId="7920EB0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220E0CD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3847F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9DAB6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单点PSI</w:t>
            </w:r>
          </w:p>
        </w:tc>
        <w:tc>
          <w:tcPr>
            <w:tcW w:w="2880" w:type="dxa"/>
          </w:tcPr>
          <w:p w14:paraId="646FB63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0.0007</w:t>
            </w:r>
          </w:p>
        </w:tc>
        <w:tc>
          <w:tcPr>
            <w:tcW w:w="2880" w:type="dxa"/>
          </w:tcPr>
          <w:p w14:paraId="359DA47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552D3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BFC6C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缺失与越界</w:t>
            </w:r>
          </w:p>
        </w:tc>
        <w:tc>
          <w:tcPr>
            <w:tcW w:w="2880" w:type="dxa"/>
          </w:tcPr>
          <w:p w14:paraId="2660BEC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2C7CA57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</w:tbl>
    <w:p w14:paraId="47406856"/>
    <w:p w14:paraId="277A5E78">
      <w:pPr>
        <w:pStyle w:val="4"/>
      </w:pPr>
      <w:r>
        <w:rPr>
          <w:rFonts w:ascii="Times New Roman" w:hAnsi="Times New Roman" w:eastAsia="宋体"/>
        </w:rPr>
        <w:t>第三轮（2026-03）</w:t>
      </w:r>
    </w:p>
    <w:p w14:paraId="61B87591">
      <w:r>
        <w:t>HIGH：无</w:t>
      </w:r>
    </w:p>
    <w:p w14:paraId="1810330C">
      <w:r>
        <w:t>MEDIUM：坏账率变化</w:t>
      </w:r>
    </w:p>
    <w:p w14:paraId="3E147A4D">
      <w:r>
        <w:t>推荐策略：standard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C883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F90BA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诊断项</w:t>
            </w:r>
          </w:p>
        </w:tc>
        <w:tc>
          <w:tcPr>
            <w:tcW w:w="2880" w:type="dxa"/>
          </w:tcPr>
          <w:p w14:paraId="2943313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6DEB27F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77EFC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11884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坏账率变化</w:t>
            </w:r>
          </w:p>
        </w:tc>
        <w:tc>
          <w:tcPr>
            <w:tcW w:w="2880" w:type="dxa"/>
          </w:tcPr>
          <w:p w14:paraId="2BFF4CA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1.3200</w:t>
            </w:r>
          </w:p>
        </w:tc>
        <w:tc>
          <w:tcPr>
            <w:tcW w:w="2880" w:type="dxa"/>
          </w:tcPr>
          <w:p w14:paraId="0623034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MEDIUM</w:t>
            </w:r>
          </w:p>
        </w:tc>
      </w:tr>
      <w:tr w14:paraId="63DBF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1E8A0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客群结构偏移</w:t>
            </w:r>
          </w:p>
        </w:tc>
        <w:tc>
          <w:tcPr>
            <w:tcW w:w="2880" w:type="dxa"/>
          </w:tcPr>
          <w:p w14:paraId="2EA873A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0.0133</w:t>
            </w:r>
          </w:p>
        </w:tc>
        <w:tc>
          <w:tcPr>
            <w:tcW w:w="2880" w:type="dxa"/>
          </w:tcPr>
          <w:p w14:paraId="015FE3C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16CE0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950C1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KS衰减</w:t>
            </w:r>
          </w:p>
        </w:tc>
        <w:tc>
          <w:tcPr>
            <w:tcW w:w="2880" w:type="dxa"/>
          </w:tcPr>
          <w:p w14:paraId="7FB299F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-0.0864</w:t>
            </w:r>
          </w:p>
        </w:tc>
        <w:tc>
          <w:tcPr>
            <w:tcW w:w="2880" w:type="dxa"/>
          </w:tcPr>
          <w:p w14:paraId="7C7B3B8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0FB5C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F3CD0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AUC衰减</w:t>
            </w:r>
          </w:p>
        </w:tc>
        <w:tc>
          <w:tcPr>
            <w:tcW w:w="2880" w:type="dxa"/>
          </w:tcPr>
          <w:p w14:paraId="42D8AE5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-0.0053</w:t>
            </w:r>
          </w:p>
        </w:tc>
        <w:tc>
          <w:tcPr>
            <w:tcW w:w="2880" w:type="dxa"/>
          </w:tcPr>
          <w:p w14:paraId="4377715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1E81C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02E22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过拟合与泄漏</w:t>
            </w:r>
          </w:p>
        </w:tc>
        <w:tc>
          <w:tcPr>
            <w:tcW w:w="2880" w:type="dxa"/>
          </w:tcPr>
          <w:p w14:paraId="0CEDC4F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2880" w:type="dxa"/>
          </w:tcPr>
          <w:p w14:paraId="259CD75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461D5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CC106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归因项</w:t>
            </w:r>
          </w:p>
        </w:tc>
        <w:tc>
          <w:tcPr>
            <w:tcW w:w="2880" w:type="dxa"/>
          </w:tcPr>
          <w:p w14:paraId="6238A06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1B68E90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640A2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0973F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IV衰减</w:t>
            </w:r>
          </w:p>
        </w:tc>
        <w:tc>
          <w:tcPr>
            <w:tcW w:w="2880" w:type="dxa"/>
          </w:tcPr>
          <w:p w14:paraId="6D23F64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243A304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77988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DC7A0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重要性偏移</w:t>
            </w:r>
          </w:p>
        </w:tc>
        <w:tc>
          <w:tcPr>
            <w:tcW w:w="2880" w:type="dxa"/>
          </w:tcPr>
          <w:p w14:paraId="49AC514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4EB11D0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FB22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53684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群体性PSI</w:t>
            </w:r>
          </w:p>
        </w:tc>
        <w:tc>
          <w:tcPr>
            <w:tcW w:w="2880" w:type="dxa"/>
          </w:tcPr>
          <w:p w14:paraId="3266191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5A2FABA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149F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C9B97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单点PSI</w:t>
            </w:r>
          </w:p>
        </w:tc>
        <w:tc>
          <w:tcPr>
            <w:tcW w:w="2880" w:type="dxa"/>
          </w:tcPr>
          <w:p w14:paraId="1832FAA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0.0008</w:t>
            </w:r>
          </w:p>
        </w:tc>
        <w:tc>
          <w:tcPr>
            <w:tcW w:w="2880" w:type="dxa"/>
          </w:tcPr>
          <w:p w14:paraId="72852F4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1D0F0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6E21E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缺失与越界</w:t>
            </w:r>
          </w:p>
        </w:tc>
        <w:tc>
          <w:tcPr>
            <w:tcW w:w="2880" w:type="dxa"/>
          </w:tcPr>
          <w:p w14:paraId="13DB62D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0C581A0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</w:tbl>
    <w:p w14:paraId="064CD32F"/>
    <w:p w14:paraId="47C7B558">
      <w:pPr>
        <w:pStyle w:val="3"/>
      </w:pPr>
      <w:r>
        <w:rPr>
          <w:rFonts w:ascii="Times New Roman" w:hAnsi="Times New Roman" w:eastAsia="宋体"/>
        </w:rPr>
        <w:t>5. 场景 parallel_D：重度联合漂移</w:t>
      </w:r>
    </w:p>
    <w:p w14:paraId="149F306A">
      <w:pPr>
        <w:pStyle w:val="4"/>
      </w:pPr>
      <w:r>
        <w:rPr>
          <w:rFonts w:ascii="Times New Roman" w:hAnsi="Times New Roman" w:eastAsia="宋体"/>
        </w:rPr>
        <w:t>第一轮（2026-01）</w:t>
      </w:r>
    </w:p>
    <w:p w14:paraId="232342D7">
      <w:r>
        <w:t>HIGH：无</w:t>
      </w:r>
    </w:p>
    <w:p w14:paraId="3E4EFD39">
      <w:r>
        <w:t>MEDIUM：客群结构偏移</w:t>
      </w:r>
    </w:p>
    <w:p w14:paraId="6A29E8B9">
      <w:r>
        <w:t>推荐策略：light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5A60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B0694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诊断项</w:t>
            </w:r>
          </w:p>
        </w:tc>
        <w:tc>
          <w:tcPr>
            <w:tcW w:w="2880" w:type="dxa"/>
          </w:tcPr>
          <w:p w14:paraId="41BD7C6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16A0E22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4701F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49E05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坏账率变化</w:t>
            </w:r>
          </w:p>
        </w:tc>
        <w:tc>
          <w:tcPr>
            <w:tcW w:w="2880" w:type="dxa"/>
          </w:tcPr>
          <w:p w14:paraId="2FF58E5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0.0200</w:t>
            </w:r>
          </w:p>
        </w:tc>
        <w:tc>
          <w:tcPr>
            <w:tcW w:w="2880" w:type="dxa"/>
          </w:tcPr>
          <w:p w14:paraId="0CE9BD8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25591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D8C75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客群结构偏移</w:t>
            </w:r>
          </w:p>
        </w:tc>
        <w:tc>
          <w:tcPr>
            <w:tcW w:w="2880" w:type="dxa"/>
          </w:tcPr>
          <w:p w14:paraId="60966FB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0.1661</w:t>
            </w:r>
          </w:p>
        </w:tc>
        <w:tc>
          <w:tcPr>
            <w:tcW w:w="2880" w:type="dxa"/>
          </w:tcPr>
          <w:p w14:paraId="7688905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MEDIUM</w:t>
            </w:r>
          </w:p>
        </w:tc>
      </w:tr>
      <w:tr w14:paraId="236D3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7F4C6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KS衰减</w:t>
            </w:r>
          </w:p>
        </w:tc>
        <w:tc>
          <w:tcPr>
            <w:tcW w:w="2880" w:type="dxa"/>
          </w:tcPr>
          <w:p w14:paraId="0234483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-0.0258</w:t>
            </w:r>
          </w:p>
        </w:tc>
        <w:tc>
          <w:tcPr>
            <w:tcW w:w="2880" w:type="dxa"/>
          </w:tcPr>
          <w:p w14:paraId="7116502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1E54D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D737C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AUC衰减</w:t>
            </w:r>
          </w:p>
        </w:tc>
        <w:tc>
          <w:tcPr>
            <w:tcW w:w="2880" w:type="dxa"/>
          </w:tcPr>
          <w:p w14:paraId="62264A8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-0.0072</w:t>
            </w:r>
          </w:p>
        </w:tc>
        <w:tc>
          <w:tcPr>
            <w:tcW w:w="2880" w:type="dxa"/>
          </w:tcPr>
          <w:p w14:paraId="25A4BBA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72C07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880B1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过拟合与泄漏</w:t>
            </w:r>
          </w:p>
        </w:tc>
        <w:tc>
          <w:tcPr>
            <w:tcW w:w="2880" w:type="dxa"/>
          </w:tcPr>
          <w:p w14:paraId="7B6074F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2880" w:type="dxa"/>
          </w:tcPr>
          <w:p w14:paraId="0312D46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27DE4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0E2A4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归因项</w:t>
            </w:r>
          </w:p>
        </w:tc>
        <w:tc>
          <w:tcPr>
            <w:tcW w:w="2880" w:type="dxa"/>
          </w:tcPr>
          <w:p w14:paraId="7B0FB2E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2A72F38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52628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10085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IV衰减</w:t>
            </w:r>
          </w:p>
        </w:tc>
        <w:tc>
          <w:tcPr>
            <w:tcW w:w="2880" w:type="dxa"/>
          </w:tcPr>
          <w:p w14:paraId="624D4C4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5CB62B5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2E7F5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49746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重要性偏移</w:t>
            </w:r>
          </w:p>
        </w:tc>
        <w:tc>
          <w:tcPr>
            <w:tcW w:w="2880" w:type="dxa"/>
          </w:tcPr>
          <w:p w14:paraId="080E5F0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3742AB4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570E6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4538F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群体性PSI</w:t>
            </w:r>
          </w:p>
        </w:tc>
        <w:tc>
          <w:tcPr>
            <w:tcW w:w="2880" w:type="dxa"/>
          </w:tcPr>
          <w:p w14:paraId="3EEBD2A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470DDCC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3DF96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66EA1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单点PSI</w:t>
            </w:r>
          </w:p>
        </w:tc>
        <w:tc>
          <w:tcPr>
            <w:tcW w:w="2880" w:type="dxa"/>
          </w:tcPr>
          <w:p w14:paraId="279FDF0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0.0867</w:t>
            </w:r>
          </w:p>
        </w:tc>
        <w:tc>
          <w:tcPr>
            <w:tcW w:w="2880" w:type="dxa"/>
          </w:tcPr>
          <w:p w14:paraId="02F5D2B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55D28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D8BC2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缺失与越界</w:t>
            </w:r>
          </w:p>
        </w:tc>
        <w:tc>
          <w:tcPr>
            <w:tcW w:w="2880" w:type="dxa"/>
          </w:tcPr>
          <w:p w14:paraId="23FE820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6978EF4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</w:tbl>
    <w:p w14:paraId="32FDAE41"/>
    <w:p w14:paraId="16793914">
      <w:pPr>
        <w:pStyle w:val="4"/>
      </w:pPr>
      <w:r>
        <w:rPr>
          <w:rFonts w:ascii="Times New Roman" w:hAnsi="Times New Roman" w:eastAsia="宋体"/>
        </w:rPr>
        <w:t>第二轮（2026-02）</w:t>
      </w:r>
    </w:p>
    <w:p w14:paraId="40A984BA">
      <w:r>
        <w:t>HIGH：无</w:t>
      </w:r>
    </w:p>
    <w:p w14:paraId="2A82B4CC">
      <w:r>
        <w:t>MEDIUM：客群结构偏移</w:t>
      </w:r>
    </w:p>
    <w:p w14:paraId="0BD3CE4E">
      <w:r>
        <w:t>推荐策略：light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9D2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55F40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诊断项</w:t>
            </w:r>
          </w:p>
        </w:tc>
        <w:tc>
          <w:tcPr>
            <w:tcW w:w="2880" w:type="dxa"/>
          </w:tcPr>
          <w:p w14:paraId="302ACDE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5EB8356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0EFB9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4B66B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坏账率变化</w:t>
            </w:r>
          </w:p>
        </w:tc>
        <w:tc>
          <w:tcPr>
            <w:tcW w:w="2880" w:type="dxa"/>
          </w:tcPr>
          <w:p w14:paraId="1B43609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0.1850</w:t>
            </w:r>
          </w:p>
        </w:tc>
        <w:tc>
          <w:tcPr>
            <w:tcW w:w="2880" w:type="dxa"/>
          </w:tcPr>
          <w:p w14:paraId="3443E07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B093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1F8115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客群结构偏移</w:t>
            </w:r>
          </w:p>
        </w:tc>
        <w:tc>
          <w:tcPr>
            <w:tcW w:w="2880" w:type="dxa"/>
          </w:tcPr>
          <w:p w14:paraId="3B4EE4D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0.2181</w:t>
            </w:r>
          </w:p>
        </w:tc>
        <w:tc>
          <w:tcPr>
            <w:tcW w:w="2880" w:type="dxa"/>
          </w:tcPr>
          <w:p w14:paraId="573A229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MEDIUM</w:t>
            </w:r>
          </w:p>
        </w:tc>
      </w:tr>
      <w:tr w14:paraId="65047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0A720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KS衰减</w:t>
            </w:r>
          </w:p>
        </w:tc>
        <w:tc>
          <w:tcPr>
            <w:tcW w:w="2880" w:type="dxa"/>
          </w:tcPr>
          <w:p w14:paraId="7C7ABF8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-0.0470</w:t>
            </w:r>
          </w:p>
        </w:tc>
        <w:tc>
          <w:tcPr>
            <w:tcW w:w="2880" w:type="dxa"/>
          </w:tcPr>
          <w:p w14:paraId="0A1093A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6727F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ECCA9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AUC衰减</w:t>
            </w:r>
          </w:p>
        </w:tc>
        <w:tc>
          <w:tcPr>
            <w:tcW w:w="2880" w:type="dxa"/>
          </w:tcPr>
          <w:p w14:paraId="0FD779E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-0.0090</w:t>
            </w:r>
          </w:p>
        </w:tc>
        <w:tc>
          <w:tcPr>
            <w:tcW w:w="2880" w:type="dxa"/>
          </w:tcPr>
          <w:p w14:paraId="6FB6DB0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535CA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1B9C5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过拟合与泄漏</w:t>
            </w:r>
          </w:p>
        </w:tc>
        <w:tc>
          <w:tcPr>
            <w:tcW w:w="2880" w:type="dxa"/>
          </w:tcPr>
          <w:p w14:paraId="24D4213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2880" w:type="dxa"/>
          </w:tcPr>
          <w:p w14:paraId="739C2ED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7AB35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29045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归因项</w:t>
            </w:r>
          </w:p>
        </w:tc>
        <w:tc>
          <w:tcPr>
            <w:tcW w:w="2880" w:type="dxa"/>
          </w:tcPr>
          <w:p w14:paraId="2D4B9A4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27E20563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7E856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E39EB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IV衰减</w:t>
            </w:r>
          </w:p>
        </w:tc>
        <w:tc>
          <w:tcPr>
            <w:tcW w:w="2880" w:type="dxa"/>
          </w:tcPr>
          <w:p w14:paraId="51F5981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6473E27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4975B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2BA92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重要性偏移</w:t>
            </w:r>
          </w:p>
        </w:tc>
        <w:tc>
          <w:tcPr>
            <w:tcW w:w="2880" w:type="dxa"/>
          </w:tcPr>
          <w:p w14:paraId="2230F32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02529D1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7201E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BF08BD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群体性PSI</w:t>
            </w:r>
          </w:p>
        </w:tc>
        <w:tc>
          <w:tcPr>
            <w:tcW w:w="2880" w:type="dxa"/>
          </w:tcPr>
          <w:p w14:paraId="45E1713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0.0323</w:t>
            </w:r>
          </w:p>
        </w:tc>
        <w:tc>
          <w:tcPr>
            <w:tcW w:w="2880" w:type="dxa"/>
          </w:tcPr>
          <w:p w14:paraId="5764F41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79E09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D1026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单点PSI</w:t>
            </w:r>
          </w:p>
        </w:tc>
        <w:tc>
          <w:tcPr>
            <w:tcW w:w="2880" w:type="dxa"/>
          </w:tcPr>
          <w:p w14:paraId="134F123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0.1362</w:t>
            </w:r>
          </w:p>
        </w:tc>
        <w:tc>
          <w:tcPr>
            <w:tcW w:w="2880" w:type="dxa"/>
          </w:tcPr>
          <w:p w14:paraId="0B949AD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714F0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5B581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缺失与越界</w:t>
            </w:r>
          </w:p>
        </w:tc>
        <w:tc>
          <w:tcPr>
            <w:tcW w:w="2880" w:type="dxa"/>
          </w:tcPr>
          <w:p w14:paraId="269F6FF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27896A8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</w:tbl>
    <w:p w14:paraId="3BDC6497"/>
    <w:p w14:paraId="0EDB4D69">
      <w:pPr>
        <w:pStyle w:val="4"/>
      </w:pPr>
      <w:r>
        <w:rPr>
          <w:rFonts w:ascii="Times New Roman" w:hAnsi="Times New Roman" w:eastAsia="宋体"/>
        </w:rPr>
        <w:t>第三轮（2026-03）</w:t>
      </w:r>
    </w:p>
    <w:p w14:paraId="2FC0057A">
      <w:r>
        <w:t>HIGH：客群结构偏移</w:t>
      </w:r>
    </w:p>
    <w:p w14:paraId="30FEBE22">
      <w:r>
        <w:t>MEDIUM：单点PSI</w:t>
      </w:r>
    </w:p>
    <w:p w14:paraId="1C9D1A65">
      <w:r>
        <w:t>推荐策略：major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DDB9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F38AC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诊断项</w:t>
            </w:r>
          </w:p>
        </w:tc>
        <w:tc>
          <w:tcPr>
            <w:tcW w:w="2880" w:type="dxa"/>
          </w:tcPr>
          <w:p w14:paraId="552C910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77CD11A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086F3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6E8C0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坏账率变化</w:t>
            </w:r>
          </w:p>
        </w:tc>
        <w:tc>
          <w:tcPr>
            <w:tcW w:w="2880" w:type="dxa"/>
          </w:tcPr>
          <w:p w14:paraId="49D022D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0.6800</w:t>
            </w:r>
          </w:p>
        </w:tc>
        <w:tc>
          <w:tcPr>
            <w:tcW w:w="2880" w:type="dxa"/>
          </w:tcPr>
          <w:p w14:paraId="5A9CCC4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1425F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83144A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客群结构偏移</w:t>
            </w:r>
          </w:p>
        </w:tc>
        <w:tc>
          <w:tcPr>
            <w:tcW w:w="2880" w:type="dxa"/>
          </w:tcPr>
          <w:p w14:paraId="412B8CD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0.3403</w:t>
            </w:r>
          </w:p>
        </w:tc>
        <w:tc>
          <w:tcPr>
            <w:tcW w:w="2880" w:type="dxa"/>
          </w:tcPr>
          <w:p w14:paraId="75A9526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HIGH</w:t>
            </w:r>
          </w:p>
        </w:tc>
      </w:tr>
      <w:tr w14:paraId="042F3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B1C87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KS衰减</w:t>
            </w:r>
          </w:p>
        </w:tc>
        <w:tc>
          <w:tcPr>
            <w:tcW w:w="2880" w:type="dxa"/>
          </w:tcPr>
          <w:p w14:paraId="17C3E2C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-0.0734</w:t>
            </w:r>
          </w:p>
        </w:tc>
        <w:tc>
          <w:tcPr>
            <w:tcW w:w="2880" w:type="dxa"/>
          </w:tcPr>
          <w:p w14:paraId="710CF02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1FB2B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AEE10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AUC衰减</w:t>
            </w:r>
          </w:p>
        </w:tc>
        <w:tc>
          <w:tcPr>
            <w:tcW w:w="2880" w:type="dxa"/>
          </w:tcPr>
          <w:p w14:paraId="5BA34B9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-0.0063</w:t>
            </w:r>
          </w:p>
        </w:tc>
        <w:tc>
          <w:tcPr>
            <w:tcW w:w="2880" w:type="dxa"/>
          </w:tcPr>
          <w:p w14:paraId="2A6DDF8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1E5C9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8C0A3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过拟合与泄漏</w:t>
            </w:r>
          </w:p>
        </w:tc>
        <w:tc>
          <w:tcPr>
            <w:tcW w:w="2880" w:type="dxa"/>
          </w:tcPr>
          <w:p w14:paraId="7A92C2A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</w:t>
            </w:r>
          </w:p>
        </w:tc>
        <w:tc>
          <w:tcPr>
            <w:tcW w:w="2880" w:type="dxa"/>
          </w:tcPr>
          <w:p w14:paraId="2B02AFC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1DCEB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5555D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归因项</w:t>
            </w:r>
          </w:p>
        </w:tc>
        <w:tc>
          <w:tcPr>
            <w:tcW w:w="2880" w:type="dxa"/>
          </w:tcPr>
          <w:p w14:paraId="1A328E02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数值</w:t>
            </w:r>
          </w:p>
        </w:tc>
        <w:tc>
          <w:tcPr>
            <w:tcW w:w="2880" w:type="dxa"/>
          </w:tcPr>
          <w:p w14:paraId="3137555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等级</w:t>
            </w:r>
          </w:p>
        </w:tc>
      </w:tr>
      <w:tr w14:paraId="08D98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17030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IV衰减</w:t>
            </w:r>
          </w:p>
        </w:tc>
        <w:tc>
          <w:tcPr>
            <w:tcW w:w="2880" w:type="dxa"/>
          </w:tcPr>
          <w:p w14:paraId="6889E32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1469A720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2DF69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FF14E4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重要性偏移</w:t>
            </w:r>
          </w:p>
        </w:tc>
        <w:tc>
          <w:tcPr>
            <w:tcW w:w="2880" w:type="dxa"/>
          </w:tcPr>
          <w:p w14:paraId="3BF9C3F8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4CC4758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3AE21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4929A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群体性PSI</w:t>
            </w:r>
          </w:p>
        </w:tc>
        <w:tc>
          <w:tcPr>
            <w:tcW w:w="2880" w:type="dxa"/>
          </w:tcPr>
          <w:p w14:paraId="5F4BAE67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0.0968</w:t>
            </w:r>
          </w:p>
        </w:tc>
        <w:tc>
          <w:tcPr>
            <w:tcW w:w="2880" w:type="dxa"/>
          </w:tcPr>
          <w:p w14:paraId="04ECD711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  <w:tr w14:paraId="365EE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F9859B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单点PSI</w:t>
            </w:r>
          </w:p>
        </w:tc>
        <w:tc>
          <w:tcPr>
            <w:tcW w:w="2880" w:type="dxa"/>
          </w:tcPr>
          <w:p w14:paraId="2973D3AC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0.3627</w:t>
            </w:r>
          </w:p>
        </w:tc>
        <w:tc>
          <w:tcPr>
            <w:tcW w:w="2880" w:type="dxa"/>
          </w:tcPr>
          <w:p w14:paraId="4201C6FF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MEDIUM</w:t>
            </w:r>
          </w:p>
        </w:tc>
      </w:tr>
      <w:tr w14:paraId="4819E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6757F9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缺失与越界</w:t>
            </w:r>
          </w:p>
        </w:tc>
        <w:tc>
          <w:tcPr>
            <w:tcW w:w="2880" w:type="dxa"/>
          </w:tcPr>
          <w:p w14:paraId="16539CAE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0.0000</w:t>
            </w:r>
          </w:p>
        </w:tc>
        <w:tc>
          <w:tcPr>
            <w:tcW w:w="2880" w:type="dxa"/>
          </w:tcPr>
          <w:p w14:paraId="262E6746">
            <w:pPr>
              <w:spacing w:after="0" w:line="240" w:lineRule="auto"/>
            </w:pPr>
            <w:r>
              <w:rPr>
                <w:rFonts w:ascii="Times New Roman" w:hAnsi="Times New Roman" w:eastAsia="宋体"/>
              </w:rPr>
              <w:t>LOW</w:t>
            </w:r>
          </w:p>
        </w:tc>
      </w:tr>
    </w:tbl>
    <w:p w14:paraId="764149B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4679C8"/>
    <w:rsid w:val="34393599"/>
    <w:rsid w:val="385C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973</Words>
  <Characters>1917</Characters>
  <Lines>0</Lines>
  <Paragraphs>0</Paragraphs>
  <TotalTime>0</TotalTime>
  <ScaleCrop>false</ScaleCrop>
  <LinksUpToDate>false</LinksUpToDate>
  <CharactersWithSpaces>1926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张硕文</cp:lastModifiedBy>
  <dcterms:modified xsi:type="dcterms:W3CDTF">2026-08-26T06:17:18Z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eyJoZGlkIjoiNzBkMjBjMGI5M2QzOWM1MmNlNmZmODcxMTdmNDE2NTYiLCJ1c2VySWQiOiI3MTE0NjY4MzAifQ==</vt:lpwstr>
  </property>
  <property fmtid="{D5CDD505-2E9C-101B-9397-08002B2CF9AE}" pid="3" name="KSOProductBuildVer">
    <vt:lpwstr>2052-12.1.0.28022</vt:lpwstr>
  </property>
  <property fmtid="{D5CDD505-2E9C-101B-9397-08002B2CF9AE}" pid="4" name="ICV">
    <vt:lpwstr>81B9F0E954654C369D019FFBF6E0A936_12</vt:lpwstr>
  </property>
</Properties>
</file>