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eastAsia="宋体"/>
        </w:rPr>
        <w:t>贷前信用风险评分模型开发报告</w:t>
      </w:r>
    </w:p>
    <w:p>
      <w:pPr>
        <w:jc w:val="center"/>
      </w:pPr>
      <w:r>
        <w:rPr>
          <w:rFonts w:ascii="Times New Roman" w:hAnsi="Times New Roman" w:eastAsia="宋体"/>
          <w:color w:val="606060"/>
          <w:sz w:val="22"/>
        </w:rPr>
        <w:t>版本：V2.0    生成日期：2026-08-22</w:t>
        <w:br/>
        <w:t>模型用途：互联网贷款贷前审批（A 卡）评分</w:t>
        <w:br/>
        <w:t>文档依据：《附件1 模型开发报告模版》</w:t>
      </w:r>
    </w:p>
    <w:p/>
    <w:p>
      <w:pPr>
        <w:pStyle w:val="Heading1"/>
      </w:pPr>
      <w:r>
        <w:rPr>
          <w:rFonts w:ascii="Times New Roman" w:hAnsi="Times New Roman" w:eastAsia="宋体"/>
        </w:rPr>
        <w:t>修订历史</w:t>
      </w:r>
    </w:p>
    <w:p>
      <w:r>
        <w:rPr>
          <w:rFonts w:ascii="Times New Roman" w:hAnsi="Times New Roman" w:eastAsia="宋体"/>
          <w:b w:val="0"/>
          <w:sz w:val="18"/>
        </w:rPr>
        <w:t>*变化状态：C—创建，A—增加，M—修改，D—删除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 w:eastAsia="宋体"/>
              </w:rPr>
              <w:t>版本编号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</w:rPr>
              <w:t>变化/状态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</w:rPr>
              <w:t>简要说明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</w:rPr>
              <w:t>日期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</w:rPr>
              <w:t>变更人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宋体"/>
              </w:rPr>
              <w:t>V1.0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</w:rPr>
              <w:t>C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</w:rPr>
              <w:t>初始版本：34 特征，静态验证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</w:rPr>
              <w:t>2026-08-01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</w:rPr>
              <w:t>建模组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宋体"/>
              </w:rPr>
              <w:t>V2.0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</w:rPr>
              <w:t>M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</w:rPr>
              <w:t>剔除 3 个冗余/镜像特征至 31 个；接入监测-迭代-部署闭环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</w:rPr>
              <w:t>2026-08-22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</w:rPr>
              <w:t>建模组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宋体"/>
        </w:rPr>
        <w:t>一、报告框架</w:t>
      </w:r>
    </w:p>
    <w:p>
      <w:r>
        <w:rPr>
          <w:rFonts w:ascii="Times New Roman" w:hAnsi="Times New Roman" w:eastAsia="宋体"/>
          <w:b w:val="0"/>
          <w:sz w:val="22"/>
        </w:rPr>
        <w:t>本文档描述贷前 A 卡信用风险评分模型的开发范围、步骤、方法和结果，框架如下：</w:t>
      </w:r>
    </w:p>
    <w:p>
      <w:r>
        <w:rPr>
          <w:rFonts w:ascii="Times New Roman" w:hAnsi="Times New Roman" w:eastAsia="宋体"/>
          <w:b w:val="0"/>
          <w:sz w:val="22"/>
        </w:rPr>
        <w:t>第 1 章 报告框架</w:t>
      </w:r>
    </w:p>
    <w:p>
      <w:r>
        <w:rPr>
          <w:rFonts w:ascii="Times New Roman" w:hAnsi="Times New Roman" w:eastAsia="宋体"/>
          <w:b w:val="0"/>
          <w:sz w:val="22"/>
        </w:rPr>
        <w:t>第 2 章 数据获取和分析</w:t>
      </w:r>
    </w:p>
    <w:p>
      <w:r>
        <w:rPr>
          <w:rFonts w:ascii="Times New Roman" w:hAnsi="Times New Roman" w:eastAsia="宋体"/>
          <w:b w:val="0"/>
          <w:sz w:val="22"/>
        </w:rPr>
        <w:t>第 3 章 模型设计</w:t>
      </w:r>
    </w:p>
    <w:p>
      <w:r>
        <w:rPr>
          <w:rFonts w:ascii="Times New Roman" w:hAnsi="Times New Roman" w:eastAsia="宋体"/>
          <w:b w:val="0"/>
          <w:sz w:val="22"/>
        </w:rPr>
        <w:t>第 4 章 模型评估</w:t>
      </w:r>
    </w:p>
    <w:p>
      <w:pPr>
        <w:pStyle w:val="Heading1"/>
      </w:pPr>
      <w:r>
        <w:rPr>
          <w:rFonts w:ascii="Times New Roman" w:hAnsi="Times New Roman" w:eastAsia="宋体"/>
        </w:rPr>
        <w:t>二、项目目标</w:t>
      </w:r>
    </w:p>
    <w:p>
      <w:r>
        <w:rPr>
          <w:rFonts w:ascii="Times New Roman" w:hAnsi="Times New Roman" w:eastAsia="宋体"/>
          <w:b w:val="0"/>
          <w:sz w:val="22"/>
        </w:rPr>
        <w:t>面向互联网贷款场景构建贷前自动审批评分模型（A 卡），替代人工审核，实现贷前风险识别的自动化与标准化。同时建立上线后的智能监测与自主迭代闭环，使模型在客群结构变化、宏观环境波动下保持稳定可用。</w:t>
      </w:r>
    </w:p>
    <w:p>
      <w:pPr>
        <w:pStyle w:val="Heading1"/>
      </w:pPr>
      <w:r>
        <w:rPr>
          <w:rFonts w:ascii="Times New Roman" w:hAnsi="Times New Roman" w:eastAsia="宋体"/>
        </w:rPr>
        <w:t>三、模型适用范围</w:t>
      </w:r>
    </w:p>
    <w:p>
      <w:r>
        <w:rPr>
          <w:rFonts w:ascii="Times New Roman" w:hAnsi="Times New Roman" w:eastAsia="宋体"/>
          <w:b w:val="0"/>
          <w:sz w:val="22"/>
        </w:rPr>
        <w:t>适用于互联网小额贷款业务的贷前自动审批环节。</w:t>
      </w:r>
    </w:p>
    <w:p>
      <w:r>
        <w:rPr>
          <w:rFonts w:ascii="Times New Roman" w:hAnsi="Times New Roman" w:eastAsia="宋体"/>
          <w:b w:val="0"/>
          <w:sz w:val="22"/>
        </w:rPr>
        <w:t>适用客群：线上自然申请、无人工干预的借款申请人。</w:t>
      </w:r>
    </w:p>
    <w:p>
      <w:r>
        <w:rPr>
          <w:rFonts w:ascii="Times New Roman" w:hAnsi="Times New Roman" w:eastAsia="宋体"/>
          <w:b w:val="0"/>
          <w:sz w:val="22"/>
        </w:rPr>
        <w:t>不适用：企业贷款、抵押类贷款，及贷后管理环节。</w:t>
      </w:r>
    </w:p>
    <w:p>
      <w:pPr>
        <w:pStyle w:val="Heading1"/>
      </w:pPr>
      <w:r>
        <w:rPr>
          <w:rFonts w:ascii="Times New Roman" w:hAnsi="Times New Roman" w:eastAsia="宋体"/>
        </w:rPr>
        <w:t>四、数据获取和分析</w:t>
      </w:r>
    </w:p>
    <w:p>
      <w:r>
        <w:rPr>
          <w:rFonts w:ascii="Times New Roman" w:hAnsi="Times New Roman" w:eastAsia="宋体"/>
          <w:b w:val="0"/>
          <w:sz w:val="22"/>
        </w:rPr>
        <w:t>数据来源：赛题官方训练集 train_data.csv（150000 行 × 37 列）与测试集 test_data.csv（20000 行 × 37 列）。</w:t>
      </w:r>
    </w:p>
    <w:p>
      <w:r>
        <w:rPr>
          <w:rFonts w:ascii="Times New Roman" w:hAnsi="Times New Roman" w:eastAsia="宋体"/>
          <w:b w:val="0"/>
          <w:sz w:val="22"/>
        </w:rPr>
        <w:t>时间范围：train 为 2025-09 ~ 2025-12；test 为 2026-01，含真实标签，作为跨时间外样本验证集（OOT）。</w:t>
      </w:r>
    </w:p>
    <w:p>
      <w:pPr>
        <w:pStyle w:val="Heading2"/>
      </w:pPr>
      <w:r>
        <w:rPr>
          <w:rFonts w:ascii="Times New Roman" w:hAnsi="Times New Roman" w:eastAsia="宋体"/>
        </w:rPr>
        <w:t>4.1 数据预处理</w:t>
      </w:r>
    </w:p>
    <w:p>
      <w:r>
        <w:rPr>
          <w:rFonts w:ascii="Times New Roman" w:hAnsi="Times New Roman" w:eastAsia="宋体"/>
          <w:b w:val="0"/>
          <w:sz w:val="22"/>
        </w:rPr>
        <w:t>· 缺失值校验：34特征零缺失（max_missing_rate=0.0000）（pass）</w:t>
      </w:r>
    </w:p>
    <w:p>
      <w:r>
        <w:rPr>
          <w:rFonts w:ascii="Times New Roman" w:hAnsi="Times New Roman" w:eastAsia="宋体"/>
          <w:b w:val="0"/>
          <w:sz w:val="22"/>
        </w:rPr>
        <w:t>· 异常值截断：越界值截断 0 处（pass）</w:t>
      </w:r>
    </w:p>
    <w:p>
      <w:r>
        <w:rPr>
          <w:rFonts w:ascii="Times New Roman" w:hAnsi="Times New Roman" w:eastAsia="宋体"/>
          <w:b w:val="0"/>
          <w:sz w:val="22"/>
        </w:rPr>
        <w:t>· 共线性剔除：剔除 1 个共线特征（fixed）</w:t>
      </w:r>
    </w:p>
    <w:p>
      <w:r>
        <w:rPr>
          <w:rFonts w:ascii="Times New Roman" w:hAnsi="Times New Roman" w:eastAsia="宋体"/>
          <w:b w:val="0"/>
          <w:sz w:val="22"/>
        </w:rPr>
        <w:t>· 强特征剔除：剔除 2 个强规则型特征（单特征AUC&gt;0.80）（fixed）</w:t>
      </w:r>
    </w:p>
    <w:p>
      <w:r>
        <w:rPr>
          <w:rFonts w:ascii="Times New Roman" w:hAnsi="Times New Roman" w:eastAsia="宋体"/>
          <w:b w:val="0"/>
          <w:sz w:val="22"/>
        </w:rPr>
        <w:t>预处理结论：特征由 34 个降为 31 个（强特征/共线性剔除），余 31 个。</w:t>
      </w:r>
    </w:p>
    <w:p>
      <w:pPr>
        <w:pStyle w:val="Heading2"/>
      </w:pPr>
      <w:r>
        <w:rPr>
          <w:rFonts w:ascii="Times New Roman" w:hAnsi="Times New Roman" w:eastAsia="宋体"/>
        </w:rPr>
        <w:t>4.2 数据统计特征</w:t>
      </w:r>
    </w:p>
    <w:p>
      <w:r>
        <w:rPr>
          <w:rFonts w:ascii="Times New Roman" w:hAnsi="Times New Roman" w:eastAsia="宋体"/>
          <w:b w:val="0"/>
          <w:sz w:val="22"/>
        </w:rPr>
        <w:t>31 个保留特征均完整无缺失；统计明细见 data_quality_report_train.json。</w:t>
      </w:r>
    </w:p>
    <w:p>
      <w:pPr>
        <w:pStyle w:val="Heading2"/>
      </w:pPr>
      <w:r>
        <w:rPr>
          <w:rFonts w:ascii="Times New Roman" w:hAnsi="Times New Roman" w:eastAsia="宋体"/>
        </w:rPr>
        <w:t>4.3 数据划分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 w:eastAsia="宋体"/>
              </w:rPr>
              <w:t>样本集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</w:rPr>
              <w:t>好样本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</w:rPr>
              <w:t>坏样本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</w:rPr>
              <w:t>总量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</w:rPr>
              <w:t>坏占比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宋体"/>
              </w:rPr>
              <w:t>训练集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</w:rPr>
              <w:t>≈96000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</w:rPr>
              <w:t>≈4000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</w:rPr>
              <w:t>100000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</w:rPr>
              <w:t>≈4.00%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宋体"/>
              </w:rPr>
              <w:t>测试集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</w:rPr>
              <w:t>≈28800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</w:rPr>
              <w:t>≈1200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</w:rPr>
              <w:t>30000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</w:rPr>
              <w:t>≈4.00%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宋体"/>
              </w:rPr>
              <w:t>跨时间验证集（OOT）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</w:rPr>
              <w:t>≈19000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</w:rPr>
              <w:t>≈1000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</w:rPr>
              <w:t>20000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</w:rPr>
              <w:t>5.00%</w:t>
            </w:r>
          </w:p>
        </w:tc>
      </w:tr>
    </w:tbl>
    <w:p>
      <w:pPr>
        <w:pStyle w:val="Heading1"/>
      </w:pPr>
      <w:r>
        <w:rPr>
          <w:rFonts w:ascii="Times New Roman" w:hAnsi="Times New Roman" w:eastAsia="宋体"/>
        </w:rPr>
        <w:t>五、模型设计</w:t>
      </w:r>
    </w:p>
    <w:p>
      <w:pPr>
        <w:pStyle w:val="Heading2"/>
      </w:pPr>
      <w:r>
        <w:rPr>
          <w:rFonts w:ascii="Times New Roman" w:hAnsi="Times New Roman" w:eastAsia="宋体"/>
        </w:rPr>
        <w:t>5.1 模型选型</w:t>
      </w:r>
    </w:p>
    <w:p>
      <w:r>
        <w:rPr>
          <w:rFonts w:ascii="Times New Roman" w:hAnsi="Times New Roman" w:eastAsia="宋体"/>
          <w:b w:val="0"/>
          <w:sz w:val="22"/>
        </w:rPr>
        <w:t>候选算法覆盖三类方法：树模型（XGBoost、LightGBM）和线性模型（逻辑回归）。信贷单表数据结构清晰，特征间非线性交互显著，树模型在 KS 和 AUC 上普遍优于线性模型。综合训练耗时、可解释性与稳定性，基座选定 LightGBM。</w:t>
      </w:r>
    </w:p>
    <w:p>
      <w:pPr>
        <w:pStyle w:val="Heading2"/>
      </w:pPr>
      <w:r>
        <w:rPr>
          <w:rFonts w:ascii="Times New Roman" w:hAnsi="Times New Roman" w:eastAsia="宋体"/>
        </w:rPr>
        <w:t>5.2 模型架构</w:t>
      </w:r>
    </w:p>
    <w:p>
      <w:r>
        <w:rPr>
          <w:rFonts w:ascii="Times New Roman" w:hAnsi="Times New Roman" w:eastAsia="宋体"/>
          <w:b w:val="0"/>
          <w:sz w:val="22"/>
        </w:rPr>
        <w:t>LightGBM（基座 v2）超参：max_depth=4，num_leaves=15，learning_rate=0.03，n_estimators=400，subsample=0.7，colsample_bytree=0.6，min_child_samples=100。</w:t>
      </w:r>
    </w:p>
    <w:p>
      <w:pPr>
        <w:pStyle w:val="Heading2"/>
      </w:pPr>
      <w:r>
        <w:rPr>
          <w:rFonts w:ascii="Times New Roman" w:hAnsi="Times New Roman" w:eastAsia="宋体"/>
        </w:rPr>
        <w:t>5.3 特征工程</w:t>
      </w:r>
    </w:p>
    <w:p>
      <w:r>
        <w:rPr>
          <w:rFonts w:ascii="Times New Roman" w:hAnsi="Times New Roman" w:eastAsia="宋体"/>
          <w:b w:val="0"/>
          <w:sz w:val="22"/>
        </w:rPr>
        <w:t>原始 34 特征降为 31 特征，规则如下：</w:t>
      </w:r>
    </w:p>
    <w:p>
      <w:r>
        <w:rPr>
          <w:rFonts w:ascii="Times New Roman" w:hAnsi="Times New Roman" w:eastAsia="宋体"/>
          <w:b w:val="0"/>
          <w:sz w:val="20"/>
        </w:rPr>
        <w:t>强特征剔除：login_fail_count、max_overdue_days（单特征 AUC 大于 0.80，属于规则型镜像）。</w:t>
      </w:r>
    </w:p>
    <w:p>
      <w:r>
        <w:rPr>
          <w:rFonts w:ascii="Times New Roman" w:hAnsi="Times New Roman" w:eastAsia="宋体"/>
          <w:b w:val="0"/>
          <w:sz w:val="20"/>
        </w:rPr>
        <w:t>共线性剔除：consumption_level（与 income_level 相关系数 0.803）。</w:t>
      </w:r>
    </w:p>
    <w:p>
      <w:r>
        <w:rPr>
          <w:rFonts w:ascii="Times New Roman" w:hAnsi="Times New Roman" w:eastAsia="宋体"/>
          <w:b w:val="0"/>
          <w:sz w:val="20"/>
        </w:rPr>
        <w:t>其余特征做合法性区间截断与类别枚举校验，不做额外衍生，保证风控审计可读性。</w:t>
      </w:r>
    </w:p>
    <w:p>
      <w:pPr>
        <w:pStyle w:val="Heading1"/>
      </w:pPr>
      <w:r>
        <w:rPr>
          <w:rFonts w:ascii="Times New Roman" w:hAnsi="Times New Roman" w:eastAsia="宋体"/>
        </w:rPr>
        <w:t>六、模型评估</w:t>
      </w:r>
    </w:p>
    <w:p>
      <w:pPr>
        <w:pStyle w:val="Heading2"/>
      </w:pPr>
      <w:r>
        <w:rPr>
          <w:rFonts w:ascii="Times New Roman" w:hAnsi="Times New Roman" w:eastAsia="宋体"/>
        </w:rPr>
        <w:t>6.1 评估指标</w:t>
      </w:r>
    </w:p>
    <w:p>
      <w:r>
        <w:rPr>
          <w:rFonts w:ascii="Times New Roman" w:hAnsi="Times New Roman" w:eastAsia="宋体"/>
          <w:b w:val="0"/>
          <w:sz w:val="22"/>
        </w:rPr>
        <w:t>以 KS 和 AUC 为主指标，坏账率、通过率、Top10% 坏账捕获率为辅。同时引入单特征 PSI 和群体 PSI 量化漂移。</w:t>
      </w:r>
    </w:p>
    <w:p>
      <w:pPr>
        <w:pStyle w:val="Heading2"/>
      </w:pPr>
      <w:r>
        <w:rPr>
          <w:rFonts w:ascii="Times New Roman" w:hAnsi="Times New Roman" w:eastAsia="宋体"/>
        </w:rPr>
        <w:t>6.2 基座模型评估结果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</w:rPr>
              <w:t>样本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</w:rPr>
              <w:t>KS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</w:rPr>
              <w:t>AUC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</w:rPr>
              <w:t>训练集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</w:rPr>
              <w:t>0.7192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</w:rPr>
              <w:t>0.9372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</w:rPr>
              <w:t>跨时间验证集（OOT 2026-01）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</w:rPr>
              <w:t>0.6983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</w:rPr>
              <w:t>0.9222</w:t>
            </w:r>
          </w:p>
        </w:tc>
      </w:tr>
    </w:tbl>
    <w:p>
      <w:pPr>
        <w:pStyle w:val="Heading2"/>
      </w:pPr>
      <w:r>
        <w:rPr>
          <w:rFonts w:ascii="Times New Roman" w:hAnsi="Times New Roman" w:eastAsia="宋体"/>
        </w:rPr>
        <w:t>6.3 五场景迭代最终对比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 w:eastAsia="宋体"/>
              </w:rPr>
              <w:t>场景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宋体"/>
              </w:rPr>
              <w:t>最终策略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宋体"/>
              </w:rPr>
              <w:t>候选 KS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宋体"/>
              </w:rPr>
              <w:t>候选 AUC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宋体"/>
              </w:rPr>
              <w:t>部署决策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宋体"/>
              </w:rPr>
              <w:t>当轮起始现役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宋体"/>
              </w:rPr>
              <w:t>真实 OOT（官方 test 2026-01）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宋体"/>
              </w:rPr>
              <w:t>标准重训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宋体"/>
              </w:rPr>
              <w:t>0.6957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宋体"/>
              </w:rPr>
              <w:t>0.9213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宋体"/>
              </w:rPr>
              <w:t>deploy_non_inferior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宋体"/>
              </w:rPr>
              <w:t>model_v2_baseline.pkl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宋体"/>
              </w:rPr>
              <w:t>平行场景 A（无漂移）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宋体"/>
              </w:rPr>
              <w:t>不迭代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宋体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宋体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宋体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宋体"/>
              </w:rPr>
              <w:t>—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宋体"/>
              </w:rPr>
              <w:t>平行场景 B（轻度特征漂移）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宋体"/>
              </w:rPr>
              <w:t>轻量微调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宋体"/>
              </w:rPr>
              <w:t>0.7761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宋体"/>
              </w:rPr>
              <w:t>0.9546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宋体"/>
              </w:rPr>
              <w:t>deploy_significant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宋体"/>
              </w:rPr>
              <w:t>model_v68_parallel_B_light_r2.pkl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宋体"/>
              </w:rPr>
              <w:t>平行场景 C（中度标签漂移）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宋体"/>
              </w:rPr>
              <w:t>标准重训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宋体"/>
              </w:rPr>
              <w:t>0.7869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宋体"/>
              </w:rPr>
              <w:t>0.9444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宋体"/>
              </w:rPr>
              <w:t>deploy_non_inferior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宋体"/>
              </w:rPr>
              <w:t>model_v71_parallel_C_standard_r2.pkl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宋体"/>
              </w:rPr>
              <w:t>平行场景 D（重度联合漂移）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宋体"/>
              </w:rPr>
              <w:t>重构重训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宋体"/>
              </w:rPr>
              <w:t>0.7629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宋体"/>
              </w:rPr>
              <w:t>0.9399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宋体"/>
              </w:rPr>
              <w:t>deploy_non_inferior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宋体"/>
              </w:rPr>
              <w:t>model_v74_parallel_D_light_r2.pkl</w:t>
            </w:r>
          </w:p>
        </w:tc>
      </w:tr>
    </w:tbl>
    <w:p>
      <w:r>
        <w:rPr>
          <w:rFonts w:ascii="Times New Roman" w:hAnsi="Times New Roman" w:eastAsia="宋体"/>
          <w:b w:val="0"/>
          <w:sz w:val="18"/>
        </w:rPr>
        <w:t>注：候选 KS/AUC 为该场景最后一轮评估的最深可及层级（FULL &gt; L2-50% &gt; L2-20% &gt; L1）；被护栏回滚的场景未走到 FULL，其指标为中途评估值。</w:t>
      </w:r>
    </w:p>
    <w:p>
      <w:pPr>
        <w:pStyle w:val="Heading1"/>
      </w:pPr>
      <w:r>
        <w:rPr>
          <w:rFonts w:ascii="Times New Roman" w:hAnsi="Times New Roman" w:eastAsia="宋体"/>
        </w:rPr>
        <w:t>七、结果分析</w:t>
      </w:r>
    </w:p>
    <w:p>
      <w:r>
        <w:rPr>
          <w:rFonts w:ascii="Times New Roman" w:hAnsi="Times New Roman" w:eastAsia="宋体"/>
          <w:b w:val="0"/>
          <w:sz w:val="22"/>
        </w:rPr>
        <w:t>（1）31 特征基座在无缺失、无泄漏前提下，训练 KS 约 0.72、AUC 约 0.92。跨时间（2026-01）KS 和 AUC 维持在合格线以上，模型具备跨期外推能力。</w:t>
      </w:r>
    </w:p>
    <w:p>
      <w:r>
        <w:rPr>
          <w:rFonts w:ascii="Times New Roman" w:hAnsi="Times New Roman" w:eastAsia="宋体"/>
          <w:b w:val="0"/>
          <w:sz w:val="22"/>
        </w:rPr>
        <w:t>（2）五场景按真实时间流推进三个月（2026-01 至 2026-03），漂移逐月小幅累积。四个平行场景在三轮内均完成迭代并成功上线，A 三轮未触发迭代，B 为轻量迭代，C 为标准迭代，D 末轮为重构。</w:t>
      </w:r>
    </w:p>
    <w:p>
      <w:r>
        <w:rPr>
          <w:rFonts w:ascii="Times New Roman" w:hAnsi="Times New Roman" w:eastAsia="宋体"/>
          <w:b w:val="0"/>
          <w:sz w:val="22"/>
        </w:rPr>
        <w:t>（3）迭代评审时新老模型使用同月样本集对比，保证公平性。灰度护栏未通过时自动回滚，业务无感。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