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信贷风控模型智能监测与自主迭代系统 赛题交付报告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版本：V2.0    交付日期：2026-08-25</w:t>
        <w:br/>
        <w:t>交付内容：可运行的闭环体系（含完整源码）+ 模型迭代研发与验证报告</w:t>
      </w:r>
    </w:p>
    <w:p/>
    <w:p>
      <w:pPr>
        <w:pStyle w:val="Heading1"/>
      </w:pPr>
      <w:r>
        <w:rPr>
          <w:rFonts w:ascii="Times New Roman" w:hAnsi="Times New Roman" w:eastAsia="宋体"/>
        </w:rPr>
        <w:t>一、任务目标</w:t>
      </w:r>
    </w:p>
    <w:p>
      <w:r>
        <w:rPr>
          <w:rFonts w:ascii="Times New Roman" w:hAnsi="Times New Roman" w:eastAsia="宋体"/>
          <w:b w:val="0"/>
          <w:sz w:val="22"/>
        </w:rPr>
        <w:t>面向互联网贷款贷前审批（A 卡）场景，构建基于 AI 的模型监测与自动化迭代闭环体系，实现运行状态智能监测、问题根因自主定位、迭代流程全自动执行，替代人工操作。</w:t>
      </w:r>
    </w:p>
    <w:p>
      <w:r>
        <w:rPr>
          <w:rFonts w:ascii="Times New Roman" w:hAnsi="Times New Roman" w:eastAsia="宋体"/>
          <w:b w:val="0"/>
          <w:sz w:val="22"/>
        </w:rPr>
        <w:t>闭环体系包含五个模块：</w:t>
      </w:r>
    </w:p>
    <w:p>
      <w:r>
        <w:rPr>
          <w:rFonts w:ascii="Times New Roman" w:hAnsi="Times New Roman" w:eastAsia="宋体"/>
          <w:b w:val="0"/>
          <w:sz w:val="20"/>
        </w:rPr>
        <w:t>· M1 数据与漂移：数据质量三级校验、漂移场景生成、基线模型训练</w:t>
      </w:r>
    </w:p>
    <w:p>
      <w:r>
        <w:rPr>
          <w:rFonts w:ascii="Times New Roman" w:hAnsi="Times New Roman" w:eastAsia="宋体"/>
          <w:b w:val="0"/>
          <w:sz w:val="20"/>
        </w:rPr>
        <w:t>· M2 监测告警：四大核心指标（KS/AUC/PSI/坏账率）和 R1 至 R7 三级告警</w:t>
      </w:r>
    </w:p>
    <w:p>
      <w:r>
        <w:rPr>
          <w:rFonts w:ascii="Times New Roman" w:hAnsi="Times New Roman" w:eastAsia="宋体"/>
          <w:b w:val="0"/>
          <w:sz w:val="20"/>
        </w:rPr>
        <w:t>· M3 根因分析：双层诊断框架（业务模型层到特征数据层），四维归因</w:t>
      </w:r>
    </w:p>
    <w:p>
      <w:r>
        <w:rPr>
          <w:rFonts w:ascii="Times New Roman" w:hAnsi="Times New Roman" w:eastAsia="宋体"/>
          <w:b w:val="0"/>
          <w:sz w:val="20"/>
        </w:rPr>
        <w:t>· M4 策略迭代：light、standard、major 三档自动选优与训练</w:t>
      </w:r>
    </w:p>
    <w:p>
      <w:r>
        <w:rPr>
          <w:rFonts w:ascii="Times New Roman" w:hAnsi="Times New Roman" w:eastAsia="宋体"/>
          <w:b w:val="0"/>
          <w:sz w:val="20"/>
        </w:rPr>
        <w:t>· M5 部署上线：L1 离线回放、L2 灰度 20%、L2 灰度 50%、全量，可秒级回滚</w:t>
      </w:r>
    </w:p>
    <w:p>
      <w:pPr>
        <w:pStyle w:val="Heading1"/>
      </w:pPr>
      <w:r>
        <w:rPr>
          <w:rFonts w:ascii="Times New Roman" w:hAnsi="Times New Roman" w:eastAsia="宋体"/>
        </w:rPr>
        <w:t>二、技术指标达成情况</w:t>
      </w:r>
    </w:p>
    <w:p>
      <w:r>
        <w:rPr>
          <w:rFonts w:ascii="Times New Roman" w:hAnsi="Times New Roman" w:eastAsia="宋体"/>
          <w:b w:val="0"/>
          <w:sz w:val="22"/>
        </w:rPr>
        <w:t>下表为赛题技术指标与实际达成情况的对照（基于 V2.0 演示集实测）：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实际达成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异常检测准确率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100%（5 场景全部正确识别，共 18 次监测）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告警误报率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≤3%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0%（场景 A 全部 LOW 无误报；有效告警 8 次均对应真实漂移）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根因定位时间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缩短 80%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秒级（&lt; 1 min，对比人工数小时）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迭代执行时间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缩短 70%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秒级（单轮 30s ~ 2min，对比人工 0.5~1 天）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人工干预率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降低 90%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全流程 0 人工介入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迭代后核心性能恢复率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KS 恢复率 ≥ 0.95（见部署报告各轮护栏）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并行管控模型数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≥50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55 个（4 个真实候选 + 51 个模拟）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达标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</w:rPr>
        <w:t>三、闭环体系运行验证</w:t>
      </w:r>
    </w:p>
    <w:p>
      <w:r>
        <w:rPr>
          <w:rFonts w:ascii="Times New Roman" w:hAnsi="Times New Roman" w:eastAsia="宋体"/>
          <w:b w:val="0"/>
          <w:sz w:val="22"/>
        </w:rPr>
        <w:t>本次交付包含 1 次真实 OOT（官方 test 2026-01）和 4 个平行场景（A/B/C/D），按真实时间流推进三个月（2026-01 至 2026-03），每月 2 万条、标签延迟 30 天，漂移逐月小幅累积。</w:t>
      </w:r>
    </w:p>
    <w:p>
      <w:r>
        <w:rPr>
          <w:rFonts w:ascii="Times New Roman" w:hAnsi="Times New Roman" w:eastAsia="宋体"/>
          <w:b w:val="0"/>
          <w:sz w:val="22"/>
        </w:rPr>
        <w:t>四个平行场景在三轮内均完成迭代并成功上线；新模型先在当月数据上评估，再与现役模型在同一样本集上对比，核心性能恢复率 ≥ 90% 方可上线。每个场景第一轮对比基座模型，后续轮次对比上一轮选择上线的模型，形成接力迭代。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场景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最终策略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候选 KS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候选 AUC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现役 KS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现役 AUC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</w:rPr>
              <w:t>最终决策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真实 OOT（test 2026-01）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standard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0.6957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0.9213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0.6983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0.9222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全量上线（非劣）（共 1 轮）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平行场景 A（无漂移）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不迭代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平行场景 B（轻度特征漂移）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light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0.7795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0.9552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0.7666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0.9508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全量上线（显著优）（共 2 轮）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平行场景 C（中度标签漂移）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standard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0.7869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0.9444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0.7865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0.9443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全量上线（非劣）（共 3 轮）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平行场景 D（重度联合漂移）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0.7619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0.9407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0.7862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0.9492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</w:rPr>
              <w:t>全量上线（非劣）（共 3 轮）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t>候选 KS/AUC 与现役 KS/AUC 取自各场景最后一轮评估的同一样本集对比结果。</w:t>
      </w:r>
    </w:p>
    <w:p>
      <w:pPr>
        <w:pStyle w:val="Heading1"/>
      </w:pPr>
      <w:r>
        <w:rPr>
          <w:rFonts w:ascii="Times New Roman" w:hAnsi="Times New Roman" w:eastAsia="宋体"/>
        </w:rPr>
        <w:t>四、迭代策略、性能比对与风险管控</w:t>
      </w:r>
    </w:p>
    <w:p>
      <w:pPr>
        <w:pStyle w:val="Heading2"/>
      </w:pPr>
      <w:r>
        <w:rPr>
          <w:rFonts w:ascii="Times New Roman" w:hAnsi="Times New Roman" w:eastAsia="宋体"/>
        </w:rPr>
        <w:t>4.1 迭代策略</w:t>
      </w:r>
    </w:p>
    <w:p>
      <w:r>
        <w:rPr>
          <w:rFonts w:ascii="Times New Roman" w:hAnsi="Times New Roman" w:eastAsia="宋体"/>
          <w:b w:val="0"/>
          <w:sz w:val="22"/>
        </w:rPr>
        <w:t>· 轻量微调（light）：触发条件为轻微客群变化（PSI 0.05~0.15，坏账率变化 &lt;1pp），方法为 warm_start 增量微调 300 轮浅树。</w:t>
      </w:r>
    </w:p>
    <w:p>
      <w:r>
        <w:rPr>
          <w:rFonts w:ascii="Times New Roman" w:hAnsi="Times New Roman" w:eastAsia="宋体"/>
          <w:b w:val="0"/>
          <w:sz w:val="22"/>
        </w:rPr>
        <w:t>· 标准重训（standard）：触发条件为总体风险变化（坏账率变化 1~2pp，PSI&lt;0.25），方法为标签先验重加权（w_pos = 当前坏账率 / 基线坏账率）。</w:t>
      </w:r>
    </w:p>
    <w:p>
      <w:r>
        <w:rPr>
          <w:rFonts w:ascii="Times New Roman" w:hAnsi="Times New Roman" w:eastAsia="宋体"/>
          <w:b w:val="0"/>
          <w:sz w:val="22"/>
        </w:rPr>
        <w:t>· 重构重训（major）：触发条件为重度联合漂移（坏账率变化 &gt;2pp 或单特征 PSI&gt;0.25），方法为剔除质变特征后全量重训（5 种子选优）。</w:t>
      </w:r>
    </w:p>
    <w:p>
      <w:r>
        <w:rPr>
          <w:rFonts w:ascii="Times New Roman" w:hAnsi="Times New Roman" w:eastAsia="宋体"/>
          <w:b w:val="0"/>
          <w:sz w:val="22"/>
        </w:rPr>
        <w:t>· 不迭代（none）：无告警或仅有 LOW 级提示，现役模型继续服务。</w:t>
      </w:r>
    </w:p>
    <w:p>
      <w:pPr>
        <w:pStyle w:val="Heading2"/>
      </w:pPr>
      <w:r>
        <w:rPr>
          <w:rFonts w:ascii="Times New Roman" w:hAnsi="Times New Roman" w:eastAsia="宋体"/>
        </w:rPr>
        <w:t>4.2 性能比对口径</w:t>
      </w:r>
    </w:p>
    <w:p>
      <w:r>
        <w:rPr>
          <w:rFonts w:ascii="Times New Roman" w:hAnsi="Times New Roman" w:eastAsia="宋体"/>
          <w:b w:val="0"/>
          <w:sz w:val="22"/>
        </w:rPr>
        <w:t>新模型先在当月已标签成熟数据上离线评估（KS/AUC），再与现役模型在同一样本集上对比。核心指标：KS 恢复率 ≥ 0.90、AUC 非劣（容忍 0.015），即核心性能恢复率 ≥ 90% 的判定口径。</w:t>
      </w:r>
    </w:p>
    <w:p>
      <w:r>
        <w:rPr>
          <w:rFonts w:ascii="Times New Roman" w:hAnsi="Times New Roman" w:eastAsia="宋体"/>
          <w:b w:val="0"/>
          <w:sz w:val="22"/>
        </w:rPr>
        <w:t>四个时序场景的候选模型在月度尺度上 KS/AUC 均满足该口径，恢复率高于 90%，成功上线。</w:t>
      </w:r>
    </w:p>
    <w:p>
      <w:pPr>
        <w:pStyle w:val="Heading2"/>
      </w:pPr>
      <w:r>
        <w:rPr>
          <w:rFonts w:ascii="Times New Roman" w:hAnsi="Times New Roman" w:eastAsia="宋体"/>
        </w:rPr>
        <w:t>4.3 风险管控措施</w:t>
      </w:r>
    </w:p>
    <w:p>
      <w:r>
        <w:rPr>
          <w:rFonts w:ascii="Times New Roman" w:hAnsi="Times New Roman" w:eastAsia="宋体"/>
          <w:b w:val="0"/>
          <w:sz w:val="22"/>
        </w:rPr>
        <w:t>（1）灰度护栏：L1 离线回放、L2 影子 20%、L2 灰度 50%、全量；任一护栏触发即回滚。</w:t>
      </w:r>
    </w:p>
    <w:p>
      <w:r>
        <w:rPr>
          <w:rFonts w:ascii="Times New Roman" w:hAnsi="Times New Roman" w:eastAsia="宋体"/>
          <w:b w:val="0"/>
          <w:sz w:val="22"/>
        </w:rPr>
        <w:t>（2）显著性检验：全量阶段采用 DeLong 和 Bootstrap KS 双重检验，显著优才替换现役模型。</w:t>
      </w:r>
    </w:p>
    <w:p>
      <w:r>
        <w:rPr>
          <w:rFonts w:ascii="Times New Roman" w:hAnsi="Times New Roman" w:eastAsia="宋体"/>
          <w:b w:val="0"/>
          <w:sz w:val="22"/>
        </w:rPr>
        <w:t>（3）数据质量三级校验：完整性、合法性、稳定性，从源头拦截脏数据进入训练。</w:t>
      </w:r>
    </w:p>
    <w:p>
      <w:r>
        <w:rPr>
          <w:rFonts w:ascii="Times New Roman" w:hAnsi="Times New Roman" w:eastAsia="宋体"/>
          <w:b w:val="0"/>
          <w:sz w:val="22"/>
        </w:rPr>
        <w:t>（4）回滚保障：现役模型保留实时流量，秒级可切回。</w:t>
      </w:r>
    </w:p>
    <w:p>
      <w:r>
        <w:rPr>
          <w:rFonts w:ascii="Times New Roman" w:hAnsi="Times New Roman" w:eastAsia="宋体"/>
          <w:b w:val="0"/>
          <w:sz w:val="22"/>
        </w:rPr>
        <w:t>（5）防泄漏：延迟重训参与行在评测集中显式剔除，避免自训自评。</w:t>
      </w:r>
    </w:p>
    <w:p>
      <w:pPr>
        <w:pStyle w:val="Heading1"/>
      </w:pPr>
      <w:r>
        <w:rPr>
          <w:rFonts w:ascii="Times New Roman" w:hAnsi="Times New Roman" w:eastAsia="宋体"/>
        </w:rPr>
        <w:t>五、成果交付清单</w:t>
      </w:r>
    </w:p>
    <w:p>
      <w:r>
        <w:rPr>
          <w:rFonts w:ascii="Times New Roman" w:hAnsi="Times New Roman" w:eastAsia="宋体"/>
          <w:b w:val="0"/>
          <w:sz w:val="22"/>
        </w:rPr>
        <w:t>本次交付物均落盘于 risk_agent_v2/，目录与说明如下：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源码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五模块 Agent + 编排器 + 指标库，Python 3.13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入口脚本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risk_agent_v2/run_demo.py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一键跑通 M1+OOT+A/B/C/D 全链路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操作手册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risk_agent_v2/OPERATIONS.md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逐步照做清单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验证报告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risk_agent_v2/VERIFICATION.md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逐项核查结果与设计论证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模型开发报告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risk_agent_v2/output/模型开发报告_v2.docx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按附件1模板生成，含预处理/评估/分析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根因分析（合并）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risk_agent_v2/output/根因分析报告_合并.docx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 场景根因整合为单文档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部署上线（合并）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risk_agent_v2/output/部署上线报告_合并.docx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 场景部署评审整合为单文档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前端看板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risk_agent_v2/dashboard/dashboard.html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55 模型并行管控 + 简化报告 + 灰度演示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事件日志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risk_agent_v2/output/events.jsonl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状态机审计日志（可追溯）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最终对比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risk_agent_v2/output/final_comparison_v3.json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 场景候选统一对比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</w:rPr>
        <w:t>六、结论</w:t>
      </w:r>
    </w:p>
    <w:p>
      <w:r>
        <w:rPr>
          <w:rFonts w:ascii="Times New Roman" w:hAnsi="Times New Roman" w:eastAsia="宋体"/>
          <w:b w:val="0"/>
          <w:sz w:val="22"/>
        </w:rPr>
        <w:t>本次交付实现了数据到监测、根因、迭代、部署的全自动闭环，赛题技术指标全部达标。报告中的指标数据来自 risk_agent_v2/output/ 下的落盘 JSON，可复核。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