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bridge_name }}车辆荷载分析报告</w:t>
      </w:r>
    </w:p>
    <w:p>
      <w:r>
        <w:t>报告生成时间: {{ report_gen_time }}</w:t>
      </w:r>
    </w:p>
    <w:p>
      <w:r>
        <w:t>分析期间: {{ start_date_str }} 至 {{ end_date_str }}</w:t>
      </w:r>
    </w:p>
    <w:p>
      <w:r>
        <w:t>分析桥梁: {{ bridge_name }}</w:t>
      </w:r>
    </w:p>
    <w:p>
      <w:pPr>
        <w:pStyle w:val="Heading3"/>
      </w:pPr>
      <w:r>
        <w:t>总体分析评估</w:t>
      </w:r>
    </w:p>
    <w:p>
      <w:r>
        <w:t>根据{{ start_date_str }}到{{ end_date_str }}的汽车荷载监测数据。监测期间，{{ bridge_name }}测得通行车辆约{{ total_vehicles_w }}万次，其中{{ direction1_name }}向通行约{{ direction1_count_w }}万次，占总量的{{ direction1_ratio }}%，{{ direction2_name }}向通行约{{ direction2_count_w }}万次，占总量的{{ direction2_ratio }}%。</w:t>
      </w:r>
    </w:p>
    <w:p>
      <w:r>
        <w:t>{{ direction1_name }}方向数据表明：通行车辆最多的为{{ d1_main_axle }}轴车辆，{% if d1_sec_axle %}{{ d1_sec_axle }}轴车辆其次，{% endif %}其他轴数车辆较少；车牌颜色以{{ d1_main_colors }}为主，占{{ d1_colors_pct }}％左右；车辆主要归属于{{ d1_main_provinces }}等地区；车型以{{ d1_main_type }}为主，占比{{ d1_type_pct }}%。车重以10吨以下为主，占比{{ d1_w_under_10_pct }}%；40~51.45t重车{{ d1_w_40_50_count }}辆，占比{{ d1_w_40_50_pct }}%；超过51.45t的车约{{ d1_w_over_51_count }}辆，占{{ d1_w_over_51_pct }}%；监测期间监测到的最重车辆约{{ d1_max_weight }}t。车流量第一个高峰期出现在{{ d1_peak1_date }}，达到{{ d1_peak1_val }}辆，是平均值的{{ d1_peak1_ratio }}倍；第二个高峰期出现在{{ d1_peak2_date }}，达到{{ d1_peak2_val }}辆，是平均值的{{ d1_peak2_ratio }}倍。</w:t>
      </w:r>
    </w:p>
    <w:p>
      <w:r>
        <w:t>{{ direction2_name }}方向数据表明：通行车辆最多的为{{ d2_main_axle }}轴车辆，{% if d2_sec_axle %}{{ d2_sec_axle }}轴车辆其次，{% endif %}其他轴数车辆较少；车牌颜色以{{ d2_main_colors }}为主，占{{ d2_colors_pct }}％左右；车辆主要归属于{{ d2_main_provinces }}等地区；车型以{{ d2_main_type }}为主，占比{{ d2_type_pct }}%。车重以10吨以下为主，占比{{ d2_w_under_10_pct }}%；40~51.45t重车{{ d2_w_40_50_count }}辆，占比{{ d2_w_40_50_pct }}%；超过51.45t的车约{{ d2_w_over_51_count }}辆，占{{ d2_w_over_51_pct }}%；监测期间监测到的最重车辆约{{ d2_max_weight }}t。车流量第一个高峰期出现在{{ d2_peak1_date }}，达到{{ d2_peak1_val }}辆，是平均值的{{ d2_peak1_ratio }}倍；第二个高峰期出现在{{ d2_peak2_date }}，达到{{ d2_peak2_val }}辆，是平均值的{{ d2_peak2_ratio }}倍。</w:t>
      </w:r>
    </w:p>
    <w:p>
      <w:pPr>
        <w:jc w:val="center"/>
      </w:pPr>
      <w:r>
        <w:t>{{ plot_axle_stats }}</w:t>
      </w:r>
    </w:p>
    <w:p>
      <w:pPr>
        <w:jc w:val="center"/>
      </w:pPr>
      <w:r>
        <w:t>图 - 通行车辆轴数统计结果</w:t>
      </w:r>
    </w:p>
    <w:p>
      <w:pPr>
        <w:jc w:val="center"/>
      </w:pPr>
      <w:r>
        <w:t>{{ plot_color_stats }}</w:t>
      </w:r>
    </w:p>
    <w:p>
      <w:pPr>
        <w:jc w:val="center"/>
      </w:pPr>
      <w:r>
        <w:t>图 - 车牌颜色统计结果</w:t>
      </w:r>
    </w:p>
    <w:p>
      <w:pPr>
        <w:jc w:val="center"/>
      </w:pPr>
      <w:r>
        <w:t>{{ plot_type_stats }}</w:t>
      </w:r>
    </w:p>
    <w:p>
      <w:pPr>
        <w:jc w:val="center"/>
      </w:pPr>
      <w:r>
        <w:t>图 - 车型统计结果</w:t>
      </w:r>
    </w:p>
    <w:p>
      <w:pPr>
        <w:jc w:val="center"/>
      </w:pPr>
      <w:r>
        <w:t>{{ plot_province_stats }}</w:t>
      </w:r>
    </w:p>
    <w:p>
      <w:pPr>
        <w:jc w:val="center"/>
      </w:pPr>
      <w:r>
        <w:t>图 - 车辆归属地统计结果</w:t>
      </w:r>
    </w:p>
    <w:p>
      <w:pPr>
        <w:jc w:val="center"/>
      </w:pPr>
      <w:r>
        <w:t>{{ plot_weight_stats }}</w:t>
      </w:r>
    </w:p>
    <w:p>
      <w:pPr>
        <w:jc w:val="center"/>
      </w:pPr>
      <w:r>
        <w:t>图 - 车重统计结果</w:t>
      </w:r>
    </w:p>
    <w:p>
      <w:pPr>
        <w:jc w:val="center"/>
      </w:pPr>
      <w:r>
        <w:t>{{ plot_daily_traffic }}</w:t>
      </w:r>
    </w:p>
    <w:p>
      <w:pPr>
        <w:jc w:val="center"/>
      </w:pPr>
      <w:r>
        <w:t>图 - 每日车流量统计结果</w:t>
      </w:r>
    </w:p>
    <w:p>
      <w:pPr>
        <w:pStyle w:val="Heading3"/>
      </w:pPr>
      <w:r>
        <w:t>分时流量统计</w:t>
      </w:r>
    </w:p>
    <w:p>
      <w:r>
        <w:t>以{{ start_date_str }}到{{ end_date_str }}的数据为研究对象，{{ bridge_name }}平均每天车流量进行分时统计分析。通过分时流量统计，表明{{ bridge_name }}{{ traffic_level }}，最高{{ max_hourly_traffic }}辆/小时左右。车流量主要集中在{{ peak_hours_text }}等时段。{{ traffic_diff_desc }}，{{ night_desc }}。{{ heavy_desc }}。</w:t>
      </w:r>
    </w:p>
    <w:p>
      <w:pPr>
        <w:jc w:val="center"/>
      </w:pPr>
      <w:r>
        <w:t>{{ plot_hourly_traffic }}</w:t>
      </w:r>
    </w:p>
    <w:p>
      <w:pPr>
        <w:jc w:val="center"/>
      </w:pPr>
      <w:r>
        <w:t>图 - 平均车流量统计（分时段）</w:t>
      </w:r>
    </w:p>
    <w:p>
      <w:pPr>
        <w:jc w:val="center"/>
      </w:pPr>
      <w:r>
        <w:t>{{ plot_dual_hourly }}</w:t>
      </w:r>
    </w:p>
    <w:p>
      <w:pPr>
        <w:jc w:val="center"/>
      </w:pPr>
      <w:r>
        <w:t>图 - 双向分时流量对比</w:t>
      </w:r>
    </w:p>
    <w:p>
      <w:pPr>
        <w:jc w:val="center"/>
      </w:pPr>
      <w:r>
        <w:t>{{ plot_dual_weight }}</w:t>
      </w:r>
    </w:p>
    <w:p>
      <w:pPr>
        <w:jc w:val="center"/>
      </w:pPr>
      <w:r>
        <w:t>图 - 双向车辆平均重量统计</w:t>
      </w:r>
    </w:p>
    <w:p>
      <w:pPr>
        <w:pStyle w:val="Heading3"/>
      </w:pPr>
      <w:r>
        <w:t>各轴车辆车重分布</w:t>
      </w:r>
    </w:p>
    <w:p>
      <w:r>
        <w:t>对两个方向各轴（{{ axle_range_desc }}）车的车重分布进行统计对比，具体如下图所示。可以判断{{ bridge_name }}，{{ balance_desc_weight }}，其中，{{ axle_range_desc }}车车重分别以{{ axle_desc_list }}为主。</w:t>
      </w:r>
    </w:p>
    <w:p>
      <w:r>
        <w:br/>
        <w:t>{% for comp in axle_images %}</w:t>
      </w:r>
    </w:p>
    <w:p>
      <w:pPr>
        <w:jc w:val="center"/>
      </w:pPr>
      <w:r>
        <w:t>{{ comp.image }}</w:t>
      </w:r>
    </w:p>
    <w:p>
      <w:pPr>
        <w:jc w:val="center"/>
      </w:pPr>
      <w:r>
        <w:t>图 - {{ comp.name }}</w:t>
      </w:r>
    </w:p>
    <w:p>
      <w:r>
        <w:t>{% endfor %}</w:t>
      </w:r>
    </w:p>
    <w:p>
      <w:pPr>
        <w:pStyle w:val="Heading3"/>
      </w:pPr>
      <w:r>
        <w:t>小结</w:t>
      </w:r>
    </w:p>
    <w:p>
      <w:r>
        <w:t>根据{{ bridge_name }}的交通荷载统计分析，可以得出以下几个结论：</w:t>
        <w:br/>
        <w:br/>
        <w:t>1、{{ bridge_name }}通行车次约{{ total_vehicles_w }}万次，其中{{ direction1_name }}{{ direction1_count_w }}万车次，{{ direction2_name }}{{ direction2_count_w }}万车次，{{ balance_desc_traffic }}。</w:t>
        <w:br/>
        <w:br/>
        <w:t>2、通行车辆以{{ final_axle_desc }}、{{ final_type_desc }}为主，车牌颜色以{{ final_color_desc }}为主，车辆主要归属于{{ final_provinces_desc }}等地区。</w:t>
        <w:br/>
        <w:br/>
        <w:t>3、全年左右幅车重统计平均值，10吨以下占比{{ g_w_under_10_pct }}%，40~51.45t占比{{ g_w_40_50_pct }}%，超过51.45t占比{{ g_w_over_51_pct }}%，其中60t以上的超重车{{ g_w_over_60_count }}辆。{{ balance_desc_weight }}。</w:t>
        <w:br/>
        <w:br/>
        <w:t>4、通过分时流量统计，车流量主要集中在{{ peak_hours_text }}等时段，最高{{ max_hourly_traffic }}辆/小时左右，{{ traffic_diff_desc }}，{{ night_desc }}。{{ heavy_desc }}。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2026-04-14T15:28:00Z</dcterms:created>
  <dcterms:modified xsi:type="dcterms:W3CDTF">2013-12-23T23:15:00Z</dcterms:modified>
  <cp:category/>
</cp:coreProperties>
</file>