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介绍文档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一、作业基本信息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课程名称</w:t>
      </w:r>
      <w:r>
        <w:rPr>
          <w:rFonts w:eastAsia="等线" w:ascii="Arial" w:cs="Arial" w:hAnsi="Arial"/>
          <w:sz w:val="22"/>
        </w:rPr>
        <w:t>：文献计量学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作业主题</w:t>
      </w:r>
      <w:r>
        <w:rPr>
          <w:rFonts w:eastAsia="等线" w:ascii="Arial" w:cs="Arial" w:hAnsi="Arial"/>
          <w:sz w:val="22"/>
        </w:rPr>
        <w:t>：人工智能在教育领域的应用研究文献计量分析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提交日期</w:t>
      </w:r>
      <w:r>
        <w:rPr>
          <w:rFonts w:eastAsia="等线" w:ascii="Arial" w:cs="Arial" w:hAnsi="Arial"/>
          <w:sz w:val="22"/>
        </w:rPr>
        <w:t>：2026年03月29日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数据规模</w:t>
      </w:r>
      <w:r>
        <w:rPr>
          <w:rFonts w:eastAsia="等线" w:ascii="Arial" w:cs="Arial" w:hAnsi="Arial"/>
          <w:sz w:val="22"/>
        </w:rPr>
        <w:t>：最终筛选有效中文期刊文献50篇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：中国知网（CNKI）中国学术期刊网络出版总库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二、作业整体思路与目的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作业依托文献计量学相关理论与方法，围绕“人工智能在教育领域的应用”这一研究主题，开展标准化文献检索、数据清洗、引文信息收集、数据整理与分析预处理工作。通过规范检索流程、构建精准检索式、筛选高质量学术文献，梳理该领域研究现状、核心文献与研究热点，完成一套可复现、规范化的文献计量分析前期全流程作业，夯实文献检索、数据整理与计量分析基础，贴合课程理论学习与实践操作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三、核心检索方案说明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检索范围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检索数据库：中国知网（CNKI）- 中国学术期刊网络出版总库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检索时间跨度：2019年1月1日-2025年12月31日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检索执行日期：2026年03月25日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精准检索式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主题字段限定检索（提升检索精准度）：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SU=(人工智能 OR AI OR 机器学习 OR 深度学习) AND SU=(教育 OR 教学 OR 高等教育 OR 职业教育)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文献筛选标准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文献类型：仅限中文学术期刊论文，排除会议论文、报纸、专利、科普类、通知类非学术文献；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去重规则：按照文献标题+第一作者信息进行去重，剔除重复文献；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相关性筛选：人工阅读文献摘要，剔除与主题无关的泛论类文献；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质量把控：优先选取学术质量较高、发表于正规学术期刊的文献。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 检索结果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初步检索获取文献150篇，经层层筛选、去重、相关性清洗后，最终保留有效文献50篇，用于后续文献计量分析。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四、文献数据与引文资料说明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本次整理的文献数据表格（csv.xlsx）包含完整核心字段，同步收录引文相关资料，满足文献计量分析基础需求，具体字段如下：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基础字段</w:t>
      </w:r>
      <w:r>
        <w:rPr>
          <w:rFonts w:eastAsia="等线" w:ascii="Arial" w:cs="Arial" w:hAnsi="Arial"/>
          <w:sz w:val="22"/>
        </w:rPr>
        <w:t>：文献标题、第一作者、发表年份、发表期刊、关键词、被引频次；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引文资料字段</w:t>
      </w:r>
      <w:r>
        <w:rPr>
          <w:rFonts w:eastAsia="等线" w:ascii="Arial" w:cs="Arial" w:hAnsi="Arial"/>
          <w:sz w:val="22"/>
        </w:rPr>
        <w:t>：单篇文献参考文献数量、核心高被引引文标注；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所有数据均来源于CNKI官方检索结果，格式统一、无缺失值、无重复值，可直接用于关键词共现、年度发文量、期刊分布、引文网络等文献计量分析。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五、检索与数据处理代码说明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为保证作业可复现性，配套编写Python代码（literature_analysis.py），实现检索逻辑复刻、文献数据清洗、去重筛选、标准化导出全流程，代码逻辑与检索方案完全一致，无需复杂运行环境，贴合课程实践要求。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代码核心功能：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固化主题检索式，还原完整检索逻辑；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执行文献去重、类型筛选、数量限定操作；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统一数据格式，导出标准化CSV/Excel文件；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全程可复现，符合文献计量学数据规范化要求。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六、提交文件清单（GitHub仓库完整文件）</w:t>
      </w:r>
      <w:bookmarkEnd w:id="9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文献检索方案.docx</w:t>
      </w:r>
      <w:r>
        <w:rPr>
          <w:rFonts w:eastAsia="等线" w:ascii="Arial" w:cs="Arial" w:hAnsi="Arial"/>
          <w:sz w:val="22"/>
        </w:rPr>
        <w:t>：完整检索流程、检索式、筛选标准全文档；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csv.xlsx</w:t>
      </w:r>
      <w:r>
        <w:rPr>
          <w:rFonts w:eastAsia="等线" w:ascii="Arial" w:cs="Arial" w:hAnsi="Arial"/>
          <w:sz w:val="22"/>
        </w:rPr>
        <w:t>：50篇文献完整数据+引文资料表格；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literature_analysis.py</w:t>
      </w:r>
      <w:r>
        <w:rPr>
          <w:rFonts w:eastAsia="等线" w:ascii="Arial" w:cs="Arial" w:hAnsi="Arial"/>
          <w:sz w:val="22"/>
        </w:rPr>
        <w:t>：文献检索与数据处理Python代码；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README.md</w:t>
      </w:r>
      <w:r>
        <w:rPr>
          <w:rFonts w:eastAsia="等线" w:ascii="Arial" w:cs="Arial" w:hAnsi="Arial"/>
          <w:sz w:val="22"/>
        </w:rPr>
        <w:t>：仓库项目简介与文件说明。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七、总结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作业严格遵循文献计量学文献检索与数据处理规范，从主题确定、检索式构建、文献筛选、引文收集到数据整理、代码复现，全程流程规范、逻辑清晰，完成了课程要求的全部实践内容，形成了一套完整、可直接用于后续计量分析的文献数据集与配套资料，满足课程作业考核要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附件：GitHub仓库访问地址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https://github.com/xiezhen777/literature-analysis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（仓库所有文件均公开可访问，可直接下载查看、复现操作）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462402">
    <w:lvl>
      <w:start w:val="1"/>
      <w:numFmt w:val="decimal"/>
      <w:suff w:val="tab"/>
      <w:lvlText w:val="%1."/>
      <w:rPr>
        <w:color w:val="3370ff"/>
      </w:rPr>
    </w:lvl>
  </w:abstractNum>
  <w:abstractNum w:abstractNumId="11462403">
    <w:lvl>
      <w:start w:val="2"/>
      <w:numFmt w:val="decimal"/>
      <w:suff w:val="tab"/>
      <w:lvlText w:val="%1."/>
      <w:rPr>
        <w:color w:val="3370ff"/>
      </w:rPr>
    </w:lvl>
  </w:abstractNum>
  <w:abstractNum w:abstractNumId="11462404">
    <w:lvl>
      <w:start w:val="1"/>
      <w:numFmt w:val="decimal"/>
      <w:suff w:val="tab"/>
      <w:lvlText w:val="%1."/>
      <w:rPr>
        <w:color w:val="3370ff"/>
      </w:rPr>
    </w:lvl>
  </w:abstractNum>
  <w:abstractNum w:abstractNumId="11462405">
    <w:lvl>
      <w:start w:val="2"/>
      <w:numFmt w:val="decimal"/>
      <w:suff w:val="tab"/>
      <w:lvlText w:val="%1."/>
      <w:rPr>
        <w:color w:val="3370ff"/>
      </w:rPr>
    </w:lvl>
  </w:abstractNum>
  <w:abstractNum w:abstractNumId="11462406">
    <w:lvl>
      <w:start w:val="3"/>
      <w:numFmt w:val="decimal"/>
      <w:suff w:val="tab"/>
      <w:lvlText w:val="%1."/>
      <w:rPr>
        <w:color w:val="3370ff"/>
      </w:rPr>
    </w:lvl>
  </w:abstractNum>
  <w:abstractNum w:abstractNumId="11462407">
    <w:lvl>
      <w:start w:val="4"/>
      <w:numFmt w:val="decimal"/>
      <w:suff w:val="tab"/>
      <w:lvlText w:val="%1."/>
      <w:rPr>
        <w:color w:val="3370ff"/>
      </w:rPr>
    </w:lvl>
  </w:abstractNum>
  <w:abstractNum w:abstractNumId="11462408">
    <w:lvl>
      <w:start w:val="1"/>
      <w:numFmt w:val="decimal"/>
      <w:suff w:val="tab"/>
      <w:lvlText w:val="%1."/>
      <w:rPr>
        <w:color w:val="3370ff"/>
      </w:rPr>
    </w:lvl>
  </w:abstractNum>
  <w:abstractNum w:abstractNumId="11462409">
    <w:lvl>
      <w:start w:val="2"/>
      <w:numFmt w:val="decimal"/>
      <w:suff w:val="tab"/>
      <w:lvlText w:val="%1."/>
      <w:rPr>
        <w:color w:val="3370ff"/>
      </w:rPr>
    </w:lvl>
  </w:abstractNum>
  <w:abstractNum w:abstractNumId="11462410">
    <w:lvl>
      <w:start w:val="3"/>
      <w:numFmt w:val="decimal"/>
      <w:suff w:val="tab"/>
      <w:lvlText w:val="%1."/>
      <w:rPr>
        <w:color w:val="3370ff"/>
      </w:rPr>
    </w:lvl>
  </w:abstractNum>
  <w:abstractNum w:abstractNumId="1146241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1462402"/>
  </w:num>
  <w:num w:numId="2">
    <w:abstractNumId w:val="11462403"/>
  </w:num>
  <w:num w:numId="3">
    <w:abstractNumId w:val="11462404"/>
  </w:num>
  <w:num w:numId="4">
    <w:abstractNumId w:val="11462405"/>
  </w:num>
  <w:num w:numId="5">
    <w:abstractNumId w:val="11462406"/>
  </w:num>
  <w:num w:numId="6">
    <w:abstractNumId w:val="11462407"/>
  </w:num>
  <w:num w:numId="7">
    <w:abstractNumId w:val="11462408"/>
  </w:num>
  <w:num w:numId="8">
    <w:abstractNumId w:val="11462409"/>
  </w:num>
  <w:num w:numId="9">
    <w:abstractNumId w:val="11462410"/>
  </w:num>
  <w:num w:numId="10">
    <w:abstractNumId w:val="114624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2026-03-29T10:35:58Z</dcterms:created>
  <dc:creator>Apache POI</dc:creator>
</cp:coreProperties>
</file>