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4-nfasis1"/>
        <w:tblW w:w="13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4591"/>
        <w:gridCol w:w="4592"/>
        <w:gridCol w:w="4592"/>
      </w:tblGrid>
      <w:tr>
        <w:trPr>
          <w:trHeight w:val="58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77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lang w:eastAsia="es-MX"/>
              </w:rPr>
            </w:pPr>
            <w:r>
              <w:rPr>
                <w:b/>
                <w:bCs/>
                <w:color w:val="FFFFFF"/>
                <w:kern w:val="0"/>
                <w:sz w:val="32"/>
                <w:szCs w:val="32"/>
                <w:lang w:val="es-MX" w:eastAsia="en-US" w:bidi="ar-SA"/>
              </w:rPr>
              <w:t>MARCO LEGAL NACIONAL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1F3864" w:themeColor="accent1" w:themeShade="80"/>
              </w:rPr>
            </w:pPr>
            <w:r>
              <w:rPr>
                <w:rFonts w:eastAsia="Calibri" w:cs=""/>
                <w:b/>
                <w:bCs/>
                <w:color w:val="1F3864" w:themeColor="accent1" w:themeShade="80"/>
                <w:kern w:val="0"/>
                <w:sz w:val="24"/>
                <w:szCs w:val="24"/>
                <w:lang w:val="es-MX" w:eastAsia="en-US" w:bidi="ar-SA"/>
              </w:rPr>
              <w:t>TEMA</w:t>
            </w:r>
          </w:p>
        </w:tc>
        <w:tc>
          <w:tcPr>
            <w:tcW w:w="459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1F3864" w:themeColor="accent1" w:themeShade="80"/>
              </w:rPr>
            </w:pPr>
            <w:r>
              <w:rPr>
                <w:rFonts w:eastAsia="Calibri" w:cs=""/>
                <w:b/>
                <w:bCs/>
                <w:color w:val="1F3864" w:themeColor="accent1" w:themeShade="80"/>
                <w:kern w:val="0"/>
                <w:sz w:val="24"/>
                <w:szCs w:val="24"/>
                <w:lang w:val="es-MX" w:eastAsia="en-US" w:bidi="ar-SA"/>
              </w:rPr>
              <w:t>DOCUMENTO NORMATIVO</w:t>
            </w:r>
          </w:p>
        </w:tc>
        <w:tc>
          <w:tcPr>
            <w:tcW w:w="459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1F3864" w:themeColor="accent1" w:themeShade="80"/>
              </w:rPr>
            </w:pPr>
            <w:r>
              <w:rPr>
                <w:rFonts w:eastAsia="Calibri" w:cs=""/>
                <w:b/>
                <w:bCs/>
                <w:color w:val="1F3864" w:themeColor="accent1" w:themeShade="80"/>
                <w:kern w:val="0"/>
                <w:sz w:val="24"/>
                <w:szCs w:val="24"/>
                <w:lang w:val="es-MX" w:eastAsia="en-US" w:bidi="ar-SA"/>
              </w:rPr>
              <w:t>RAZÓN POR LA QUE SE DEBE CONSIDERAR</w:t>
            </w:r>
          </w:p>
        </w:tc>
      </w:tr>
      <w:tr>
        <w:trPr>
          <w:trHeight w:val="584" w:hRule="atLeast"/>
        </w:trPr>
        <w:tc>
          <w:tcPr>
            <w:tcW w:w="45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Educación</w:t>
            </w:r>
          </w:p>
        </w:tc>
        <w:tc>
          <w:tcPr>
            <w:tcW w:w="4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Art. 3 Constitucional</w:t>
            </w:r>
          </w:p>
        </w:tc>
        <w:tc>
          <w:tcPr>
            <w:tcW w:w="4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Porque es el marco en el que se desarrolla la educación en México.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  <w:t>Educación superior</w:t>
            </w:r>
            <w:r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  <w:t xml:space="preserve">. </w:t>
            </w:r>
            <w:r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  <w:t>Abrogada 2021-04-20.</w:t>
            </w:r>
          </w:p>
        </w:tc>
        <w:tc>
          <w:tcPr>
            <w:tcW w:w="459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  <w:t>Ley para la Coordinación de la educación Superior</w:t>
            </w:r>
          </w:p>
        </w:tc>
        <w:tc>
          <w:tcPr>
            <w:tcW w:w="459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  <w:t>Porque es el documento que norma los límites de la educación superior en México.</w:t>
            </w:r>
          </w:p>
        </w:tc>
      </w:tr>
      <w:tr>
        <w:trPr>
          <w:trHeight w:val="584" w:hRule="atLeast"/>
        </w:trPr>
        <w:tc>
          <w:tcPr>
            <w:tcW w:w="45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Estudios de licenciatura en la Universidad Iberoamericana</w:t>
            </w:r>
          </w:p>
        </w:tc>
        <w:tc>
          <w:tcPr>
            <w:tcW w:w="4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hyperlink r:id="rId2">
              <w:r>
                <w:rPr>
                  <w:rStyle w:val="InternetLink"/>
                  <w:rFonts w:eastAsia="Calibri" w:cs=""/>
                  <w:kern w:val="0"/>
                  <w:sz w:val="24"/>
                  <w:szCs w:val="24"/>
                  <w:lang w:val="es-MX" w:eastAsia="en-US" w:bidi="ar-SA"/>
                </w:rPr>
                <w:t>Reglamento de Estudios de Licenciatura de la Universidad Iberoamericana</w:t>
              </w:r>
            </w:hyperlink>
          </w:p>
        </w:tc>
        <w:tc>
          <w:tcPr>
            <w:tcW w:w="4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Porque el proyecto se llevará a cabo en esta institución y nivel educativo.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|</w:t>
            </w:r>
          </w:p>
        </w:tc>
        <w:tc>
          <w:tcPr>
            <w:tcW w:w="459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hyperlink r:id="rId3">
              <w:r>
                <w:rPr>
                  <w:rStyle w:val="InternetLink"/>
                  <w:rFonts w:eastAsia="Calibri" w:cs=""/>
                  <w:kern w:val="0"/>
                  <w:sz w:val="24"/>
                  <w:szCs w:val="24"/>
                  <w:lang w:val="es-MX" w:eastAsia="en-US" w:bidi="ar-SA"/>
                </w:rPr>
                <w:t>SERVICIOS EDUCATIVOS- DISPOSICIONES A LAS QUE SE SUJETARÁN AQUELLOS PARTICULARES QUE PRESTEN SERVICIOS EN LA MATERIA</w:t>
              </w:r>
            </w:hyperlink>
          </w:p>
        </w:tc>
        <w:tc>
          <w:tcPr>
            <w:tcW w:w="459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Porque la institución donde se plantea es particular y en materia de educación.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/>
              <w:t>Política Nacional de Evaluación Educativa (PNEE)</w:t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Porque la evaluación interna debería estar alineada con la Política Nacional.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strike/>
                <w:kern w:val="0"/>
                <w:sz w:val="24"/>
                <w:szCs w:val="24"/>
                <w:u w:val="none"/>
                <w:lang w:val="es-MX" w:eastAsia="en-US" w:bidi="ar-SA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u w:val="none"/>
                <w:lang w:val="es-MX" w:eastAsia="en-US" w:bidi="ar-SA"/>
              </w:rPr>
              <w:t>Abrogada</w:t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strike/>
                <w:u w:val="single"/>
              </w:rPr>
              <w:t>L</w:t>
            </w:r>
            <w:hyperlink r:id="rId4">
              <w:r>
                <w:rPr>
                  <w:rStyle w:val="InternetLink"/>
                  <w:strike/>
                  <w:u w:val="single"/>
                </w:rPr>
                <w:t>EY DEL INSTITUTO NACIONAL PARA LA EVALUACIÓN DE LA EDUCACIÓN</w:t>
              </w:r>
            </w:hyperlink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  <w:t>Porque podría ser una referencia en buenas prácticas de evaluación educativa.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No encontré evidencia de que se haya derogado.</w:t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Acuerdo Nacional para la Modernización de la Educación. </w:t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Porque probablemente tome en cuenta regulación internacional.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  <w:t>Abrogada, pero referenciada en la Ley General del Sistema para la Carrera de las Maestras y los Maestros</w:t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verdana" w:hAnsi="verdana"/>
                <w:strike/>
                <w:sz w:val="20"/>
              </w:rPr>
            </w:pPr>
            <w:bookmarkStart w:id="0" w:name="page63R_mcid6"/>
            <w:bookmarkEnd w:id="0"/>
            <w:r>
              <w:rPr>
                <w:rFonts w:ascii="sans-serif" w:hAnsi="sans-serif"/>
                <w:strike/>
                <w:sz w:val="20"/>
              </w:rPr>
              <w:t xml:space="preserve">Ley General del </w:t>
            </w:r>
            <w:r>
              <w:rPr>
                <w:rFonts w:ascii="verdana" w:hAnsi="verdana"/>
                <w:strike/>
                <w:sz w:val="20"/>
              </w:rPr>
              <w:br/>
            </w:r>
            <w:r>
              <w:rPr>
                <w:rFonts w:ascii="sans-serif" w:hAnsi="sans-serif"/>
                <w:strike/>
                <w:sz w:val="20"/>
              </w:rPr>
              <w:t>Servicio Profesional Docente</w:t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strike/>
                <w:kern w:val="0"/>
                <w:sz w:val="24"/>
                <w:szCs w:val="24"/>
                <w:lang w:val="es-MX" w:eastAsia="en-US" w:bidi="ar-SA"/>
              </w:rPr>
              <w:t>La ley está abrogada.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hyperlink r:id="rId5">
              <w:r>
                <w:rPr>
                  <w:rStyle w:val="InternetLink"/>
                </w:rPr>
                <w:t>Programa Sectorial de Educación</w:t>
              </w:r>
            </w:hyperlink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  <w:t>El punto 6.5.7 habla acerca de la evaluación como parte de la estrategia para impulsar el compromiso y responsabilidad social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hyperlink r:id="rId6">
              <w:r>
                <w:rPr>
                  <w:rStyle w:val="InternetLink"/>
                </w:rPr>
                <w:t>Ley General de Educación</w:t>
              </w:r>
            </w:hyperlink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  <w:t>Es la ley que trata acerca de los temas generales de educación.</w:t>
            </w:r>
          </w:p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  <w:t xml:space="preserve">El capítulo III </w:t>
            </w:r>
            <w:r>
              <w:rPr>
                <w:lang w:val="es-MX" w:eastAsia="en-US" w:bidi="ar-SA"/>
              </w:rPr>
              <w:t xml:space="preserve">del título segundo </w:t>
            </w:r>
            <w:r>
              <w:rPr>
                <w:lang w:val="es-MX" w:eastAsia="en-US" w:bidi="ar-SA"/>
              </w:rPr>
              <w:t>habla acerca de los criterios de la educación.</w:t>
            </w:r>
          </w:p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  <w:t>El título III y capítulo IV habla acerca de la educación superior.</w:t>
            </w:r>
          </w:p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  <w:t>El artículo 22 de la LGE establece la necesidad de evaluación del aprendizaje y acreditación; que de acuerdo al Artículo 29, seción IV deben estar en acuerdo con los planes de estudios.</w:t>
            </w:r>
          </w:p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</w:r>
          </w:p>
          <w:p>
            <w:pPr>
              <w:pStyle w:val="Normal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lang w:val="es-MX" w:eastAsia="en-US" w:bidi="ar-SA"/>
              </w:rPr>
              <w:t>La evaluación también debe tener como objetivo el diagnóstico para idenificar estudiantes sobresalientes y dar atención a quiénes la necesitan, de acuerdo al Artículo 67.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>
                <w:strike/>
                <w:lang w:val="es-MX" w:eastAsia="en-US" w:bidi="ar-SA"/>
              </w:rPr>
            </w:pPr>
            <w:r>
              <w:rPr>
                <w:strike/>
                <w:lang w:val="es-MX" w:eastAsia="en-US" w:bidi="ar-SA"/>
              </w:rPr>
            </w:r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/>
            </w:pPr>
            <w:hyperlink r:id="rId7">
              <w:r>
                <w:rPr>
                  <w:rStyle w:val="InternetLink"/>
                  <w:strike/>
                </w:rPr>
                <w:t xml:space="preserve">MANUAL GENERAL DE ORGANIZACION DE LA ADMINISTRACION FEDERAL </w:t>
              </w:r>
            </w:hyperlink>
          </w:p>
        </w:tc>
        <w:tc>
          <w:tcPr>
            <w:tcW w:w="4592" w:type="dxa"/>
            <w:tcBorders>
              <w:top w:val="nil"/>
            </w:tcBorders>
            <w:shd w:color="auto" w:fill="D9E2F3" w:themeFill="accent1" w:themeFillTint="33" w:val="clear"/>
          </w:tcPr>
          <w:p>
            <w:pPr>
              <w:pStyle w:val="Normal"/>
              <w:rPr>
                <w:strike/>
                <w:lang w:val="es-MX" w:eastAsia="en-US" w:bidi="ar-SA"/>
              </w:rPr>
            </w:pPr>
            <w:r>
              <w:rPr>
                <w:strike/>
                <w:lang w:val="es-MX" w:eastAsia="en-US" w:bidi="ar-SA"/>
              </w:rPr>
              <w:t>Establece criterios para la evaluación de la educación básica y secundaria.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Style w:val="Tablaconcuadrcula4-nfasis1"/>
        <w:tblW w:w="137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4591"/>
        <w:gridCol w:w="4592"/>
        <w:gridCol w:w="4592"/>
      </w:tblGrid>
      <w:tr>
        <w:trPr>
          <w:trHeight w:val="58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775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Times New Roman" w:hAnsi="Times New Roman" w:eastAsia="Times New Roman" w:cs="Times New Roman"/>
                <w:lang w:eastAsia="es-MX"/>
              </w:rPr>
            </w:pPr>
            <w:r>
              <w:rPr>
                <w:b/>
                <w:bCs/>
                <w:color w:val="FFFFFF"/>
                <w:kern w:val="0"/>
                <w:sz w:val="32"/>
                <w:szCs w:val="32"/>
                <w:lang w:val="es-MX" w:eastAsia="en-US" w:bidi="ar-SA"/>
              </w:rPr>
              <w:t>MARCO LEGAL INTERNACIONAL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1F3864" w:themeColor="accent1" w:themeShade="80"/>
              </w:rPr>
            </w:pPr>
            <w:r>
              <w:rPr>
                <w:rFonts w:eastAsia="Calibri" w:cs=""/>
                <w:b/>
                <w:bCs/>
                <w:color w:val="1F3864" w:themeColor="accent1" w:themeShade="80"/>
                <w:kern w:val="0"/>
                <w:sz w:val="24"/>
                <w:szCs w:val="24"/>
                <w:lang w:val="es-MX" w:eastAsia="en-US" w:bidi="ar-SA"/>
              </w:rPr>
              <w:t>TEMA</w:t>
            </w:r>
          </w:p>
        </w:tc>
        <w:tc>
          <w:tcPr>
            <w:tcW w:w="459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1F3864" w:themeColor="accent1" w:themeShade="80"/>
              </w:rPr>
            </w:pPr>
            <w:r>
              <w:rPr>
                <w:rFonts w:eastAsia="Calibri" w:cs=""/>
                <w:b/>
                <w:bCs/>
                <w:color w:val="1F3864" w:themeColor="accent1" w:themeShade="80"/>
                <w:kern w:val="0"/>
                <w:sz w:val="24"/>
                <w:szCs w:val="24"/>
                <w:lang w:val="es-MX" w:eastAsia="en-US" w:bidi="ar-SA"/>
              </w:rPr>
              <w:t>DOCUMENTO NORMATIVO</w:t>
            </w:r>
          </w:p>
        </w:tc>
        <w:tc>
          <w:tcPr>
            <w:tcW w:w="4592" w:type="dxa"/>
            <w:tcBorders/>
            <w:shd w:color="auto" w:fill="D9E2F3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color w:val="1F3864" w:themeColor="accent1" w:themeShade="80"/>
              </w:rPr>
            </w:pPr>
            <w:r>
              <w:rPr>
                <w:rFonts w:eastAsia="Calibri" w:cs=""/>
                <w:b/>
                <w:bCs/>
                <w:color w:val="1F3864" w:themeColor="accent1" w:themeShade="80"/>
                <w:kern w:val="0"/>
                <w:sz w:val="24"/>
                <w:szCs w:val="24"/>
                <w:lang w:val="es-MX" w:eastAsia="en-US" w:bidi="ar-SA"/>
              </w:rPr>
              <w:t>RAZÓN POR LA QUE SE DEBE CONSIDERAR</w:t>
            </w:r>
          </w:p>
        </w:tc>
      </w:tr>
      <w:tr>
        <w:trPr>
          <w:trHeight w:val="584" w:hRule="atLeast"/>
        </w:trPr>
        <w:tc>
          <w:tcPr>
            <w:tcW w:w="45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4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verdana" w:hAnsi="verdana" w:eastAsia="Calibri" w:cs=""/>
                <w:kern w:val="0"/>
                <w:sz w:val="20"/>
                <w:szCs w:val="24"/>
                <w:lang w:val="es-MX" w:eastAsia="en-US" w:bidi="ar-SA"/>
              </w:rPr>
            </w:pPr>
            <w:r>
              <w:rPr>
                <w:rFonts w:eastAsia="Calibri" w:cs="" w:ascii="verdana" w:hAnsi="verdana"/>
                <w:kern w:val="0"/>
                <w:sz w:val="20"/>
                <w:szCs w:val="24"/>
                <w:lang w:val="es-MX" w:eastAsia="en-US" w:bidi="ar-SA"/>
              </w:rPr>
              <w:t>Programa de modernización educativa</w:t>
            </w:r>
          </w:p>
        </w:tc>
        <w:tc>
          <w:tcPr>
            <w:tcW w:w="4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459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Recomendaciones de la ONU, OEA, OECD, UNESCO.</w:t>
            </w:r>
          </w:p>
        </w:tc>
        <w:tc>
          <w:tcPr>
            <w:tcW w:w="459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  <w:tr>
        <w:trPr>
          <w:trHeight w:val="584" w:hRule="atLeast"/>
        </w:trPr>
        <w:tc>
          <w:tcPr>
            <w:tcW w:w="459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4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hyperlink r:id="rId8">
              <w:r>
                <w:rPr>
                  <w:rStyle w:val="InternetLink"/>
                  <w:rFonts w:eastAsia="Calibri" w:cs=""/>
                  <w:kern w:val="0"/>
                  <w:sz w:val="24"/>
                  <w:szCs w:val="24"/>
                  <w:lang w:val="es-MX" w:eastAsia="en-US" w:bidi="ar-SA"/>
                </w:rPr>
                <w:t>Acuerdo de cooperación México-OCDE para mejorar la calidad de la educación de las escuelas mexicanas</w:t>
              </w:r>
            </w:hyperlink>
            <w:r>
              <w:rPr>
                <w:rStyle w:val="InternetLink"/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 xml:space="preserve"> </w:t>
            </w:r>
            <w:r>
              <w:rPr>
                <w:rStyle w:val="InternetLink"/>
                <w:rFonts w:eastAsia="Calibri" w:cs=""/>
                <w:kern w:val="0"/>
                <w:sz w:val="24"/>
                <w:szCs w:val="24"/>
                <w:u w:val="none"/>
                <w:lang w:val="es-MX" w:eastAsia="en-US" w:bidi="ar-SA"/>
              </w:rPr>
              <w:t>(2010)</w:t>
            </w:r>
          </w:p>
        </w:tc>
        <w:tc>
          <w:tcPr>
            <w:tcW w:w="459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  <w:t>Habla acerca de la evaluación, aunque principalmente desde la perspectiva de la evaluación de la calidad educativa.</w:t>
            </w:r>
          </w:p>
        </w:tc>
      </w:tr>
      <w:tr>
        <w:trPr>
          <w:trHeight w:val="5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9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459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  <w:tc>
          <w:tcPr>
            <w:tcW w:w="459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Calibri" w:hAnsi="Calibri" w:eastAsia="Calibri" w:cs=""/>
                <w:kern w:val="0"/>
                <w:sz w:val="24"/>
                <w:szCs w:val="24"/>
                <w:lang w:val="es-MX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s-MX" w:eastAsia="en-US" w:bidi="ar-SA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/>
      </w:r>
    </w:p>
    <w:sectPr>
      <w:headerReference w:type="default" r:id="rId9"/>
      <w:footerReference w:type="default" r:id="rId10"/>
      <w:type w:val="nextPage"/>
      <w:pgSz w:orient="landscape" w:w="15840" w:h="12240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91959183"/>
    </w:sdtPr>
    <w:sdtContent>
      <w:p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 w:eastAsia="Times New Roman" w:cs="Times New Roman"/>
        <w:lang w:eastAsia="es-MX"/>
      </w:rPr>
    </w:pPr>
    <w:r>
      <w:rPr>
        <w:rFonts w:eastAsia="Times New Roman" w:cs="Times New Roman" w:ascii="Times New Roman" w:hAnsi="Times New Roman"/>
        <w:lang w:eastAsia="es-MX"/>
      </w:rPr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7384415</wp:posOffset>
          </wp:positionH>
          <wp:positionV relativeFrom="paragraph">
            <wp:posOffset>-39370</wp:posOffset>
          </wp:positionV>
          <wp:extent cx="1238885" cy="510540"/>
          <wp:effectExtent l="0" t="0" r="0" b="0"/>
          <wp:wrapNone/>
          <wp:docPr id="1" name="Picture 2" descr="Centro Universitario Columbia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Centro Universitario Columbia | LinkedI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0896" r="0" b="27891"/>
                  <a:stretch>
                    <a:fillRect/>
                  </a:stretch>
                </pic:blipFill>
                <pic:spPr bwMode="auto">
                  <a:xfrm>
                    <a:off x="0" y="0"/>
                    <a:ext cx="1238885" cy="510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360"/>
      <w:rPr>
        <w:rFonts w:eastAsia="Times New Roman" w:cs="Times New Roman"/>
        <w:b/>
        <w:b/>
        <w:bCs/>
        <w:lang w:eastAsia="es-MX"/>
      </w:rPr>
    </w:pPr>
    <w:r>
      <w:rPr>
        <w:rFonts w:eastAsia="Times New Roman" w:cs="Times New Roman"/>
        <w:b/>
        <w:bCs/>
        <w:lang w:eastAsia="es-MX"/>
      </w:rPr>
      <w:t>MARCO LEGAL</w:t>
    </w:r>
  </w:p>
  <w:p>
    <w:pPr>
      <w:pStyle w:val="Normal"/>
      <w:spacing w:lineRule="auto" w:line="360"/>
      <w:rPr>
        <w:rFonts w:eastAsia="Times New Roman" w:cs="Times New Roman"/>
        <w:b/>
        <w:b/>
        <w:bCs/>
        <w:lang w:eastAsia="es-MX"/>
      </w:rPr>
    </w:pPr>
    <w:r>
      <w:rPr>
        <w:rFonts w:eastAsia="Times New Roman" w:cs="Times New Roman"/>
        <w:b/>
        <w:bCs/>
        <w:lang w:eastAsia="es-MX"/>
      </w:rPr>
      <w:t>NOMBRE DEL ALUMNO (A): Joshua Ismael Haase Hernández</w:t>
    </w:r>
  </w:p>
  <w:p>
    <w:pPr>
      <w:pStyle w:val="Normal"/>
      <w:spacing w:lineRule="auto" w:line="360"/>
      <w:rPr>
        <w:rFonts w:eastAsia="Times New Roman" w:cs="Times New Roman"/>
        <w:b/>
        <w:b/>
        <w:bCs/>
        <w:lang w:eastAsia="es-MX"/>
      </w:rPr>
    </w:pPr>
    <w:r>
      <w:rPr>
        <w:rFonts w:eastAsia="Times New Roman" w:cs="Times New Roman"/>
        <w:b/>
        <w:bCs/>
        <w:lang w:eastAsia="es-MX"/>
      </w:rPr>
      <w:t>TÍTULO DE LA TESIS: Explorar la enseñanza de programación de acuerdo al paradigma constructivista usando actividades dirigidas e integración continua</w:t>
    </w:r>
  </w:p>
  <w:p>
    <w:pPr>
      <w:pStyle w:val="Normal"/>
      <w:rPr>
        <w:rFonts w:eastAsia="Times New Roman" w:cs="Times New Roman"/>
        <w:b/>
        <w:b/>
        <w:bCs/>
        <w:sz w:val="2"/>
        <w:szCs w:val="2"/>
        <w:lang w:eastAsia="es-MX"/>
      </w:rPr>
    </w:pPr>
    <w:r>
      <w:rPr>
        <w:rFonts w:eastAsia="Times New Roman" w:cs="Times New Roman"/>
        <w:b/>
        <w:bCs/>
        <w:sz w:val="2"/>
        <w:szCs w:val="2"/>
        <w:lang w:eastAsia="es-MX"/>
      </w:rPr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2507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b225c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b225c"/>
    <w:rPr/>
  </w:style>
  <w:style w:type="character" w:styleId="Pagenumber">
    <w:name w:val="page number"/>
    <w:basedOn w:val="DefaultParagraphFont"/>
    <w:uiPriority w:val="99"/>
    <w:semiHidden/>
    <w:unhideWhenUsed/>
    <w:qFormat/>
    <w:rsid w:val="00620cd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eb225c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c06662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066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4">
    <w:name w:val="Grid Table 4 Accent 4"/>
    <w:basedOn w:val="Tablanormal"/>
    <w:uiPriority w:val="49"/>
    <w:rsid w:val="00725077"/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725077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725077"/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bero.mx/sites/all/themes/ibero/descargables/corpus/reglamento_de_estudios_de_licenciatura.pdf" TargetMode="External"/><Relationship Id="rId3" Type="http://schemas.openxmlformats.org/officeDocument/2006/relationships/hyperlink" Target="http://dof.gob.mx/nota_detalle.php?codigo=5618145&amp;fecha=12/05/2021" TargetMode="External"/><Relationship Id="rId4" Type="http://schemas.openxmlformats.org/officeDocument/2006/relationships/hyperlink" Target="https://historico.mejoredu.gob.mx/wp-content/uploads/2018/12/Ley_del_INEE.pdf" TargetMode="External"/><Relationship Id="rId5" Type="http://schemas.openxmlformats.org/officeDocument/2006/relationships/hyperlink" Target="https://www.gob.mx/cms/uploads/attachment/file/562380/Programa_Sectorial_de_Educaci_n_2020-2024.pdf" TargetMode="External"/><Relationship Id="rId6" Type="http://schemas.openxmlformats.org/officeDocument/2006/relationships/hyperlink" Target="http://www.diputados.gob.mx/LeyesBiblio/pdf/LGE_300919.pdf" TargetMode="External"/><Relationship Id="rId7" Type="http://schemas.openxmlformats.org/officeDocument/2006/relationships/hyperlink" Target="http://www.diputados.gob.mx/LeyesBiblio/regla/n200.pdf" TargetMode="External"/><Relationship Id="rId8" Type="http://schemas.openxmlformats.org/officeDocument/2006/relationships/hyperlink" Target="https://www.oecd.org/education/school/46216786.pdf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F7FAB5-812B-C64B-8B75-E15C7520C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LibreOffice/7.1.5.2$Linux_X86_64 LibreOffice_project/10$Build-2</Application>
  <AppVersion>15.0000</AppVersion>
  <Pages>3</Pages>
  <Words>435</Words>
  <Characters>2435</Characters>
  <CharactersWithSpaces>2824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2021-07-18T06:07:00Z</dcterms:created>
  <dc:creator>MIRIAM TRINIDAD</dc:creator>
  <dc:description/>
  <dc:language>en-US</dc:language>
  <cp:lastModifiedBy/>
  <cp:lastPrinted>2019-10-26T02:08:00Z</cp:lastPrinted>
  <dcterms:modified xsi:type="dcterms:W3CDTF">2021-08-01T23:39:27Z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