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5CC98">
      <w:pPr>
        <w:jc w:val="center"/>
        <w:rPr>
          <w:rFonts w:hint="eastAsia"/>
          <w:lang w:val="en-US" w:eastAsia="zh-CN"/>
        </w:rPr>
      </w:pPr>
    </w:p>
    <w:p w14:paraId="42F388D0">
      <w:pPr>
        <w:jc w:val="center"/>
        <w:rPr>
          <w:rFonts w:hint="eastAsia"/>
          <w:lang w:val="en-US" w:eastAsia="zh-CN"/>
        </w:rPr>
      </w:pPr>
    </w:p>
    <w:p w14:paraId="7BD5422D">
      <w:pPr>
        <w:jc w:val="center"/>
        <w:rPr>
          <w:rFonts w:hint="eastAsia"/>
          <w:lang w:val="en-US" w:eastAsia="zh-CN"/>
        </w:rPr>
      </w:pPr>
    </w:p>
    <w:p w14:paraId="6795EC7C">
      <w:pPr>
        <w:jc w:val="center"/>
        <w:rPr>
          <w:rFonts w:hint="eastAsia"/>
          <w:lang w:val="en-US" w:eastAsia="zh-CN"/>
        </w:rPr>
      </w:pPr>
    </w:p>
    <w:p w14:paraId="1A129E5D">
      <w:pPr>
        <w:jc w:val="center"/>
        <w:rPr>
          <w:rFonts w:hint="eastAsia"/>
          <w:lang w:val="en-US" w:eastAsia="zh-CN"/>
        </w:rPr>
      </w:pPr>
    </w:p>
    <w:p w14:paraId="16675D0D">
      <w:pPr>
        <w:jc w:val="center"/>
        <w:rPr>
          <w:rFonts w:hint="eastAsia"/>
          <w:lang w:val="en-US" w:eastAsia="zh-CN"/>
        </w:rPr>
      </w:pPr>
    </w:p>
    <w:p w14:paraId="3262F1D6">
      <w:pPr>
        <w:jc w:val="center"/>
        <w:rPr>
          <w:rFonts w:hint="eastAsia"/>
          <w:lang w:val="en-US" w:eastAsia="zh-CN"/>
        </w:rPr>
      </w:pPr>
    </w:p>
    <w:p w14:paraId="24BA9CEC">
      <w:pPr>
        <w:jc w:val="center"/>
        <w:rPr>
          <w:rFonts w:hint="eastAsia"/>
          <w:lang w:val="en-US" w:eastAsia="zh-CN"/>
        </w:rPr>
      </w:pPr>
    </w:p>
    <w:p w14:paraId="50A7EB6E">
      <w:pPr>
        <w:jc w:val="center"/>
        <w:rPr>
          <w:rFonts w:hint="eastAsia"/>
          <w:lang w:val="en-US" w:eastAsia="zh-CN"/>
        </w:rPr>
      </w:pPr>
    </w:p>
    <w:p w14:paraId="6D648044">
      <w:pPr>
        <w:jc w:val="center"/>
        <w:rPr>
          <w:rFonts w:hint="eastAsia"/>
          <w:lang w:val="en-US" w:eastAsia="zh-CN"/>
        </w:rPr>
      </w:pPr>
    </w:p>
    <w:p w14:paraId="17521EC9">
      <w:pPr>
        <w:jc w:val="center"/>
        <w:rPr>
          <w:rFonts w:hint="eastAsia"/>
          <w:lang w:val="en-US" w:eastAsia="zh-CN"/>
        </w:rPr>
      </w:pPr>
    </w:p>
    <w:p w14:paraId="399B8A22">
      <w:pPr>
        <w:jc w:val="center"/>
        <w:rPr>
          <w:rFonts w:hint="eastAsia"/>
          <w:lang w:val="en-US" w:eastAsia="zh-CN"/>
        </w:rPr>
      </w:pPr>
    </w:p>
    <w:p w14:paraId="6BF85BF7">
      <w:pPr>
        <w:jc w:val="center"/>
        <w:rPr>
          <w:rFonts w:hint="eastAsia"/>
          <w:lang w:val="en-US" w:eastAsia="zh-CN"/>
        </w:rPr>
      </w:pPr>
    </w:p>
    <w:p w14:paraId="6DC2F9BF">
      <w:pPr>
        <w:jc w:val="center"/>
        <w:rPr>
          <w:rFonts w:hint="eastAsia"/>
          <w:lang w:val="en-US" w:eastAsia="zh-CN"/>
        </w:rPr>
      </w:pPr>
    </w:p>
    <w:p w14:paraId="5D828ACD">
      <w:pPr>
        <w:jc w:val="center"/>
        <w:rPr>
          <w:rFonts w:hint="eastAsia"/>
          <w:lang w:val="en-US" w:eastAsia="zh-CN"/>
        </w:rPr>
      </w:pPr>
    </w:p>
    <w:p w14:paraId="2FF18BFE">
      <w:pPr>
        <w:jc w:val="center"/>
        <w:rPr>
          <w:rFonts w:hint="eastAsia"/>
          <w:lang w:val="en-US" w:eastAsia="zh-CN"/>
        </w:rPr>
      </w:pPr>
    </w:p>
    <w:p w14:paraId="3DE9A4E6">
      <w:pPr>
        <w:jc w:val="center"/>
        <w:rPr>
          <w:rFonts w:hint="eastAsia"/>
          <w:lang w:val="en-US" w:eastAsia="zh-CN"/>
        </w:rPr>
      </w:pPr>
    </w:p>
    <w:p w14:paraId="18BB2116">
      <w:pPr>
        <w:jc w:val="center"/>
        <w:rPr>
          <w:rFonts w:hint="eastAsia"/>
          <w:lang w:val="en-US" w:eastAsia="zh-CN"/>
        </w:rPr>
      </w:pPr>
    </w:p>
    <w:p w14:paraId="1F0A4E30">
      <w:pPr>
        <w:jc w:val="center"/>
        <w:rPr>
          <w:rFonts w:hint="eastAsia"/>
          <w:lang w:val="en-US" w:eastAsia="zh-CN"/>
        </w:rPr>
      </w:pPr>
    </w:p>
    <w:p w14:paraId="0EF96ECE">
      <w:pPr>
        <w:jc w:val="center"/>
        <w:rPr>
          <w:rFonts w:hint="default"/>
          <w:b/>
          <w:bCs/>
          <w:sz w:val="28"/>
          <w:szCs w:val="28"/>
          <w:lang w:val="en-US" w:eastAsia="zh-CN"/>
        </w:rPr>
      </w:pPr>
      <w:r>
        <w:rPr>
          <w:rFonts w:hint="eastAsia"/>
          <w:b/>
          <w:bCs/>
          <w:sz w:val="28"/>
          <w:szCs w:val="28"/>
          <w:lang w:val="en-US" w:eastAsia="zh-CN"/>
        </w:rPr>
        <w:t>业务人员业绩展示 需求分析文档</w:t>
      </w:r>
    </w:p>
    <w:p w14:paraId="4E54DCC1">
      <w:pPr>
        <w:rPr>
          <w:rFonts w:hint="eastAsia"/>
          <w:lang w:val="en-US" w:eastAsia="zh-CN"/>
        </w:rPr>
      </w:pPr>
    </w:p>
    <w:p w14:paraId="4209732B">
      <w:pPr>
        <w:rPr>
          <w:rFonts w:hint="eastAsia"/>
          <w:lang w:val="en-US" w:eastAsia="zh-CN"/>
        </w:rPr>
      </w:pPr>
    </w:p>
    <w:p w14:paraId="093EC53A">
      <w:pPr>
        <w:rPr>
          <w:rFonts w:hint="eastAsia"/>
          <w:lang w:val="en-US" w:eastAsia="zh-CN"/>
        </w:rPr>
      </w:pPr>
    </w:p>
    <w:p w14:paraId="7B1CA4AE">
      <w:pPr>
        <w:rPr>
          <w:rFonts w:hint="eastAsia"/>
          <w:lang w:val="en-US" w:eastAsia="zh-CN"/>
        </w:rPr>
      </w:pPr>
    </w:p>
    <w:p w14:paraId="1300EFC1">
      <w:pPr>
        <w:rPr>
          <w:rFonts w:hint="eastAsia"/>
          <w:lang w:val="en-US" w:eastAsia="zh-CN"/>
        </w:rPr>
      </w:pPr>
    </w:p>
    <w:p w14:paraId="1C42729C">
      <w:pPr>
        <w:rPr>
          <w:rFonts w:hint="eastAsia"/>
          <w:lang w:val="en-US" w:eastAsia="zh-CN"/>
        </w:rPr>
      </w:pPr>
    </w:p>
    <w:p w14:paraId="20C6AEDF">
      <w:pPr>
        <w:rPr>
          <w:rFonts w:hint="eastAsia"/>
          <w:lang w:val="en-US" w:eastAsia="zh-CN"/>
        </w:rPr>
      </w:pPr>
    </w:p>
    <w:p w14:paraId="0E7BA4D5">
      <w:pPr>
        <w:rPr>
          <w:rFonts w:hint="eastAsia"/>
          <w:lang w:val="en-US" w:eastAsia="zh-CN"/>
        </w:rPr>
      </w:pPr>
    </w:p>
    <w:p w14:paraId="06A7772E">
      <w:pPr>
        <w:rPr>
          <w:rFonts w:hint="eastAsia"/>
          <w:lang w:val="en-US" w:eastAsia="zh-CN"/>
        </w:rPr>
      </w:pPr>
    </w:p>
    <w:p w14:paraId="72094238">
      <w:pPr>
        <w:rPr>
          <w:rFonts w:hint="eastAsia"/>
          <w:lang w:val="en-US" w:eastAsia="zh-CN"/>
        </w:rPr>
      </w:pPr>
    </w:p>
    <w:p w14:paraId="6722A597">
      <w:pPr>
        <w:rPr>
          <w:rFonts w:hint="eastAsia"/>
          <w:lang w:val="en-US" w:eastAsia="zh-CN"/>
        </w:rPr>
      </w:pPr>
    </w:p>
    <w:p w14:paraId="3AFCC65F">
      <w:pPr>
        <w:rPr>
          <w:rFonts w:hint="eastAsia"/>
          <w:lang w:val="en-US" w:eastAsia="zh-CN"/>
        </w:rPr>
      </w:pPr>
    </w:p>
    <w:p w14:paraId="4703A2E6">
      <w:pPr>
        <w:rPr>
          <w:rFonts w:hint="eastAsia"/>
          <w:lang w:val="en-US" w:eastAsia="zh-CN"/>
        </w:rPr>
      </w:pPr>
    </w:p>
    <w:p w14:paraId="3936A903">
      <w:pPr>
        <w:rPr>
          <w:rFonts w:hint="eastAsia"/>
          <w:lang w:val="en-US" w:eastAsia="zh-CN"/>
        </w:rPr>
      </w:pPr>
    </w:p>
    <w:p w14:paraId="6C5A5C5A">
      <w:pPr>
        <w:rPr>
          <w:rFonts w:hint="eastAsia"/>
          <w:lang w:val="en-US" w:eastAsia="zh-CN"/>
        </w:rPr>
      </w:pPr>
    </w:p>
    <w:p w14:paraId="781A2010">
      <w:pPr>
        <w:rPr>
          <w:rFonts w:hint="eastAsia"/>
          <w:lang w:val="en-US" w:eastAsia="zh-CN"/>
        </w:rPr>
      </w:pPr>
    </w:p>
    <w:p w14:paraId="4ACBD520">
      <w:pPr>
        <w:rPr>
          <w:rFonts w:hint="eastAsia"/>
          <w:lang w:val="en-US" w:eastAsia="zh-CN"/>
        </w:rPr>
      </w:pPr>
    </w:p>
    <w:p w14:paraId="348B0A35">
      <w:pPr>
        <w:rPr>
          <w:rFonts w:hint="eastAsia"/>
          <w:lang w:val="en-US" w:eastAsia="zh-CN"/>
        </w:rPr>
      </w:pPr>
    </w:p>
    <w:p w14:paraId="306DE797">
      <w:pPr>
        <w:rPr>
          <w:rFonts w:hint="eastAsia"/>
          <w:lang w:val="en-US" w:eastAsia="zh-CN"/>
        </w:rPr>
      </w:pPr>
    </w:p>
    <w:p w14:paraId="1BC96903">
      <w:pPr>
        <w:rPr>
          <w:rFonts w:hint="eastAsia"/>
          <w:lang w:val="en-US" w:eastAsia="zh-CN"/>
        </w:rPr>
      </w:pPr>
    </w:p>
    <w:p w14:paraId="122EF555">
      <w:pPr>
        <w:rPr>
          <w:rFonts w:hint="eastAsia"/>
          <w:lang w:val="en-US" w:eastAsia="zh-CN"/>
        </w:rPr>
      </w:pPr>
    </w:p>
    <w:p w14:paraId="3BA2C097">
      <w:pPr>
        <w:rPr>
          <w:rFonts w:hint="eastAsia"/>
          <w:lang w:val="en-US" w:eastAsia="zh-CN"/>
        </w:rPr>
      </w:pPr>
    </w:p>
    <w:p w14:paraId="08301625">
      <w:pPr>
        <w:rPr>
          <w:rFonts w:hint="eastAsia"/>
          <w:lang w:val="en-US" w:eastAsia="zh-CN"/>
        </w:rPr>
      </w:pPr>
    </w:p>
    <w:p w14:paraId="2E93ADCD">
      <w:pPr>
        <w:spacing w:line="480" w:lineRule="auto"/>
        <w:jc w:val="center"/>
        <w:rPr>
          <w:rFonts w:hint="eastAsia" w:ascii="仿宋" w:hAnsi="仿宋" w:eastAsia="仿宋" w:cs="仿宋"/>
          <w:b/>
          <w:bCs/>
          <w:sz w:val="24"/>
          <w:szCs w:val="24"/>
        </w:rPr>
      </w:pPr>
      <w:r>
        <w:rPr>
          <w:rFonts w:hint="eastAsia" w:ascii="仿宋" w:hAnsi="仿宋" w:eastAsia="仿宋" w:cs="仿宋"/>
          <w:b/>
          <w:bCs/>
          <w:sz w:val="24"/>
          <w:szCs w:val="24"/>
        </w:rPr>
        <w:t>变更履历</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8"/>
        <w:gridCol w:w="1214"/>
        <w:gridCol w:w="830"/>
        <w:gridCol w:w="2135"/>
        <w:gridCol w:w="1339"/>
        <w:gridCol w:w="1200"/>
        <w:gridCol w:w="1113"/>
      </w:tblGrid>
      <w:tr w14:paraId="4EDA1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403" w:type="pct"/>
            <w:shd w:val="clear" w:color="auto" w:fill="D8D8D8"/>
            <w:noWrap w:val="0"/>
            <w:vAlign w:val="top"/>
          </w:tcPr>
          <w:p w14:paraId="28E91CD0">
            <w:pPr>
              <w:jc w:val="center"/>
              <w:rPr>
                <w:rFonts w:hint="eastAsia" w:ascii="仿宋" w:hAnsi="仿宋" w:eastAsia="仿宋" w:cs="仿宋"/>
                <w:b/>
              </w:rPr>
            </w:pPr>
            <w:r>
              <w:rPr>
                <w:rFonts w:hint="eastAsia" w:ascii="仿宋" w:hAnsi="仿宋" w:eastAsia="仿宋" w:cs="仿宋"/>
                <w:b/>
              </w:rPr>
              <w:t>序号</w:t>
            </w:r>
          </w:p>
        </w:tc>
        <w:tc>
          <w:tcPr>
            <w:tcW w:w="712" w:type="pct"/>
            <w:shd w:val="clear" w:color="auto" w:fill="D8D8D8"/>
            <w:noWrap w:val="0"/>
            <w:vAlign w:val="top"/>
          </w:tcPr>
          <w:p w14:paraId="57C2E46D">
            <w:pPr>
              <w:jc w:val="center"/>
              <w:rPr>
                <w:rFonts w:hint="eastAsia" w:ascii="仿宋" w:hAnsi="仿宋" w:eastAsia="仿宋" w:cs="仿宋"/>
                <w:b/>
              </w:rPr>
            </w:pPr>
            <w:r>
              <w:rPr>
                <w:rFonts w:hint="eastAsia" w:ascii="仿宋" w:hAnsi="仿宋" w:eastAsia="仿宋" w:cs="仿宋"/>
                <w:b/>
              </w:rPr>
              <w:t>变更日期</w:t>
            </w:r>
          </w:p>
        </w:tc>
        <w:tc>
          <w:tcPr>
            <w:tcW w:w="487" w:type="pct"/>
            <w:shd w:val="clear" w:color="auto" w:fill="D8D8D8"/>
            <w:noWrap w:val="0"/>
            <w:vAlign w:val="top"/>
          </w:tcPr>
          <w:p w14:paraId="4012BE5A">
            <w:pPr>
              <w:jc w:val="center"/>
              <w:rPr>
                <w:rFonts w:hint="eastAsia" w:ascii="仿宋" w:hAnsi="仿宋" w:eastAsia="仿宋" w:cs="仿宋"/>
                <w:b/>
              </w:rPr>
            </w:pPr>
            <w:r>
              <w:rPr>
                <w:rFonts w:hint="eastAsia" w:ascii="仿宋" w:hAnsi="仿宋" w:eastAsia="仿宋" w:cs="仿宋"/>
                <w:b/>
              </w:rPr>
              <w:t>版本</w:t>
            </w:r>
          </w:p>
        </w:tc>
        <w:tc>
          <w:tcPr>
            <w:tcW w:w="1253" w:type="pct"/>
            <w:shd w:val="clear" w:color="auto" w:fill="D8D8D8"/>
            <w:noWrap w:val="0"/>
            <w:vAlign w:val="top"/>
          </w:tcPr>
          <w:p w14:paraId="6B49A248">
            <w:pPr>
              <w:jc w:val="center"/>
              <w:rPr>
                <w:rFonts w:hint="eastAsia" w:ascii="仿宋" w:hAnsi="仿宋" w:eastAsia="仿宋" w:cs="仿宋"/>
                <w:b/>
              </w:rPr>
            </w:pPr>
            <w:r>
              <w:rPr>
                <w:rFonts w:hint="eastAsia" w:ascii="仿宋" w:hAnsi="仿宋" w:eastAsia="仿宋" w:cs="仿宋"/>
                <w:b/>
              </w:rPr>
              <w:t>变更位置</w:t>
            </w:r>
          </w:p>
        </w:tc>
        <w:tc>
          <w:tcPr>
            <w:tcW w:w="785" w:type="pct"/>
            <w:shd w:val="clear" w:color="auto" w:fill="D8D8D8"/>
            <w:noWrap w:val="0"/>
            <w:vAlign w:val="top"/>
          </w:tcPr>
          <w:p w14:paraId="5100A6EA">
            <w:pPr>
              <w:jc w:val="center"/>
              <w:rPr>
                <w:rFonts w:hint="eastAsia" w:ascii="仿宋" w:hAnsi="仿宋" w:eastAsia="仿宋" w:cs="仿宋"/>
                <w:b/>
              </w:rPr>
            </w:pPr>
            <w:r>
              <w:rPr>
                <w:rFonts w:hint="eastAsia" w:ascii="仿宋" w:hAnsi="仿宋" w:eastAsia="仿宋" w:cs="仿宋"/>
                <w:b/>
              </w:rPr>
              <w:t>变更原因</w:t>
            </w:r>
          </w:p>
        </w:tc>
        <w:tc>
          <w:tcPr>
            <w:tcW w:w="704" w:type="pct"/>
            <w:shd w:val="clear" w:color="auto" w:fill="D8D8D8"/>
            <w:noWrap w:val="0"/>
            <w:vAlign w:val="top"/>
          </w:tcPr>
          <w:p w14:paraId="0F0CE34F">
            <w:pPr>
              <w:jc w:val="center"/>
              <w:rPr>
                <w:rFonts w:hint="eastAsia" w:ascii="仿宋" w:hAnsi="仿宋" w:eastAsia="仿宋" w:cs="仿宋"/>
                <w:b/>
              </w:rPr>
            </w:pPr>
            <w:r>
              <w:rPr>
                <w:rFonts w:hint="eastAsia" w:ascii="仿宋" w:hAnsi="仿宋" w:eastAsia="仿宋" w:cs="仿宋"/>
                <w:b/>
              </w:rPr>
              <w:t>修订人</w:t>
            </w:r>
          </w:p>
        </w:tc>
        <w:tc>
          <w:tcPr>
            <w:tcW w:w="653" w:type="pct"/>
            <w:shd w:val="clear" w:color="auto" w:fill="D8D8D8"/>
            <w:noWrap w:val="0"/>
            <w:vAlign w:val="top"/>
          </w:tcPr>
          <w:p w14:paraId="7B46BC94">
            <w:pPr>
              <w:jc w:val="center"/>
              <w:rPr>
                <w:rFonts w:hint="eastAsia" w:ascii="仿宋" w:hAnsi="仿宋" w:eastAsia="仿宋" w:cs="仿宋"/>
                <w:b/>
                <w:lang w:val="en-US" w:eastAsia="zh-CN"/>
              </w:rPr>
            </w:pPr>
            <w:r>
              <w:rPr>
                <w:rFonts w:hint="eastAsia" w:ascii="仿宋" w:hAnsi="仿宋" w:eastAsia="仿宋" w:cs="仿宋"/>
                <w:b/>
                <w:lang w:val="en-US" w:eastAsia="zh-CN"/>
              </w:rPr>
              <w:t>审核人</w:t>
            </w:r>
          </w:p>
        </w:tc>
      </w:tr>
      <w:tr w14:paraId="0DC3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noWrap w:val="0"/>
            <w:vAlign w:val="center"/>
          </w:tcPr>
          <w:p w14:paraId="1ED6E369">
            <w:pPr>
              <w:jc w:val="center"/>
              <w:rPr>
                <w:rFonts w:hint="default" w:ascii="仿宋" w:hAnsi="仿宋" w:eastAsia="仿宋" w:cs="仿宋"/>
                <w:lang w:val="en-US" w:eastAsia="zh-CN"/>
              </w:rPr>
            </w:pPr>
            <w:r>
              <w:rPr>
                <w:rFonts w:hint="eastAsia" w:ascii="仿宋" w:hAnsi="仿宋" w:eastAsia="仿宋" w:cs="仿宋"/>
                <w:lang w:val="en-US" w:eastAsia="zh-CN"/>
              </w:rPr>
              <w:t>1</w:t>
            </w:r>
          </w:p>
        </w:tc>
        <w:tc>
          <w:tcPr>
            <w:tcW w:w="712" w:type="pct"/>
            <w:noWrap w:val="0"/>
            <w:vAlign w:val="center"/>
          </w:tcPr>
          <w:p w14:paraId="367ABBDB">
            <w:pPr>
              <w:jc w:val="center"/>
              <w:rPr>
                <w:rFonts w:hint="default" w:ascii="仿宋" w:hAnsi="仿宋" w:eastAsia="仿宋" w:cs="仿宋"/>
                <w:lang w:val="en-US" w:eastAsia="zh-CN"/>
              </w:rPr>
            </w:pPr>
            <w:r>
              <w:rPr>
                <w:rFonts w:hint="eastAsia" w:ascii="仿宋" w:hAnsi="仿宋" w:eastAsia="仿宋" w:cs="仿宋"/>
                <w:lang w:val="en-US" w:eastAsia="zh-CN"/>
              </w:rPr>
              <w:t>2025/10/13</w:t>
            </w:r>
          </w:p>
        </w:tc>
        <w:tc>
          <w:tcPr>
            <w:tcW w:w="487" w:type="pct"/>
            <w:noWrap w:val="0"/>
            <w:vAlign w:val="center"/>
          </w:tcPr>
          <w:p w14:paraId="2151159C">
            <w:pPr>
              <w:jc w:val="center"/>
              <w:rPr>
                <w:rFonts w:hint="default" w:ascii="仿宋" w:hAnsi="仿宋" w:eastAsia="仿宋" w:cs="仿宋"/>
                <w:lang w:val="en-US" w:eastAsia="zh-CN"/>
              </w:rPr>
            </w:pPr>
            <w:r>
              <w:rPr>
                <w:rFonts w:hint="eastAsia" w:ascii="仿宋" w:hAnsi="仿宋" w:eastAsia="仿宋" w:cs="仿宋"/>
                <w:lang w:val="en-US" w:eastAsia="zh-CN"/>
              </w:rPr>
              <w:t>V1.0</w:t>
            </w:r>
          </w:p>
        </w:tc>
        <w:tc>
          <w:tcPr>
            <w:tcW w:w="1253" w:type="pct"/>
            <w:noWrap w:val="0"/>
            <w:vAlign w:val="top"/>
          </w:tcPr>
          <w:p w14:paraId="44432F24">
            <w:pPr>
              <w:jc w:val="center"/>
              <w:rPr>
                <w:rFonts w:hint="eastAsia" w:ascii="仿宋" w:hAnsi="仿宋" w:eastAsia="仿宋" w:cs="仿宋"/>
              </w:rPr>
            </w:pPr>
          </w:p>
        </w:tc>
        <w:tc>
          <w:tcPr>
            <w:tcW w:w="785" w:type="pct"/>
            <w:noWrap w:val="0"/>
            <w:vAlign w:val="center"/>
          </w:tcPr>
          <w:p w14:paraId="2F849275">
            <w:pPr>
              <w:jc w:val="center"/>
              <w:rPr>
                <w:rFonts w:hint="default" w:ascii="仿宋" w:hAnsi="仿宋" w:eastAsia="仿宋" w:cs="仿宋"/>
                <w:lang w:val="en-US" w:eastAsia="zh-CN"/>
              </w:rPr>
            </w:pPr>
            <w:r>
              <w:rPr>
                <w:rFonts w:hint="eastAsia" w:ascii="仿宋" w:hAnsi="仿宋" w:eastAsia="仿宋" w:cs="仿宋"/>
                <w:lang w:val="en-US" w:eastAsia="zh-CN"/>
              </w:rPr>
              <w:t>建立初稿</w:t>
            </w:r>
          </w:p>
        </w:tc>
        <w:tc>
          <w:tcPr>
            <w:tcW w:w="704" w:type="pct"/>
            <w:noWrap w:val="0"/>
            <w:vAlign w:val="center"/>
          </w:tcPr>
          <w:p w14:paraId="07C5CEEB">
            <w:pPr>
              <w:jc w:val="center"/>
              <w:rPr>
                <w:rFonts w:hint="eastAsia" w:ascii="仿宋" w:hAnsi="仿宋" w:eastAsia="仿宋" w:cs="仿宋"/>
                <w:lang w:val="en-US" w:eastAsia="zh-CN"/>
              </w:rPr>
            </w:pPr>
            <w:r>
              <w:rPr>
                <w:rFonts w:hint="eastAsia" w:ascii="仿宋" w:hAnsi="仿宋" w:eastAsia="仿宋" w:cs="仿宋"/>
                <w:lang w:val="en-US" w:eastAsia="zh-CN"/>
              </w:rPr>
              <w:t>陆佩荧</w:t>
            </w:r>
          </w:p>
        </w:tc>
        <w:tc>
          <w:tcPr>
            <w:tcW w:w="653" w:type="pct"/>
            <w:noWrap w:val="0"/>
            <w:vAlign w:val="center"/>
          </w:tcPr>
          <w:p w14:paraId="689EB705">
            <w:pPr>
              <w:jc w:val="center"/>
              <w:rPr>
                <w:rFonts w:hint="eastAsia" w:ascii="仿宋" w:hAnsi="仿宋" w:eastAsia="仿宋" w:cs="仿宋"/>
              </w:rPr>
            </w:pPr>
          </w:p>
        </w:tc>
      </w:tr>
      <w:tr w14:paraId="67F89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pct"/>
            <w:noWrap w:val="0"/>
            <w:vAlign w:val="top"/>
          </w:tcPr>
          <w:p w14:paraId="4F0D1C85">
            <w:pPr>
              <w:jc w:val="center"/>
              <w:rPr>
                <w:rFonts w:hint="eastAsia" w:ascii="仿宋" w:hAnsi="仿宋" w:eastAsia="仿宋" w:cs="仿宋"/>
              </w:rPr>
            </w:pPr>
          </w:p>
        </w:tc>
        <w:tc>
          <w:tcPr>
            <w:tcW w:w="712" w:type="pct"/>
            <w:noWrap w:val="0"/>
            <w:vAlign w:val="top"/>
          </w:tcPr>
          <w:p w14:paraId="00084309">
            <w:pPr>
              <w:jc w:val="center"/>
              <w:rPr>
                <w:rFonts w:hint="eastAsia" w:ascii="仿宋" w:hAnsi="仿宋" w:eastAsia="仿宋" w:cs="仿宋"/>
              </w:rPr>
            </w:pPr>
          </w:p>
        </w:tc>
        <w:tc>
          <w:tcPr>
            <w:tcW w:w="487" w:type="pct"/>
            <w:noWrap w:val="0"/>
            <w:vAlign w:val="top"/>
          </w:tcPr>
          <w:p w14:paraId="5290010A">
            <w:pPr>
              <w:jc w:val="center"/>
              <w:rPr>
                <w:rFonts w:hint="eastAsia" w:ascii="仿宋" w:hAnsi="仿宋" w:eastAsia="仿宋" w:cs="仿宋"/>
              </w:rPr>
            </w:pPr>
          </w:p>
        </w:tc>
        <w:tc>
          <w:tcPr>
            <w:tcW w:w="1253" w:type="pct"/>
            <w:noWrap w:val="0"/>
            <w:vAlign w:val="top"/>
          </w:tcPr>
          <w:p w14:paraId="0704C2F8">
            <w:pPr>
              <w:jc w:val="center"/>
              <w:rPr>
                <w:rFonts w:hint="eastAsia" w:ascii="仿宋" w:hAnsi="仿宋" w:eastAsia="仿宋" w:cs="仿宋"/>
              </w:rPr>
            </w:pPr>
          </w:p>
        </w:tc>
        <w:tc>
          <w:tcPr>
            <w:tcW w:w="785" w:type="pct"/>
            <w:noWrap w:val="0"/>
            <w:vAlign w:val="top"/>
          </w:tcPr>
          <w:p w14:paraId="318135C0">
            <w:pPr>
              <w:jc w:val="center"/>
              <w:rPr>
                <w:rFonts w:hint="eastAsia" w:ascii="仿宋" w:hAnsi="仿宋" w:eastAsia="仿宋" w:cs="仿宋"/>
              </w:rPr>
            </w:pPr>
          </w:p>
        </w:tc>
        <w:tc>
          <w:tcPr>
            <w:tcW w:w="704" w:type="pct"/>
            <w:noWrap w:val="0"/>
            <w:vAlign w:val="top"/>
          </w:tcPr>
          <w:p w14:paraId="1FD413B2">
            <w:pPr>
              <w:jc w:val="center"/>
              <w:rPr>
                <w:rFonts w:hint="eastAsia" w:ascii="仿宋" w:hAnsi="仿宋" w:eastAsia="仿宋" w:cs="仿宋"/>
              </w:rPr>
            </w:pPr>
          </w:p>
        </w:tc>
        <w:tc>
          <w:tcPr>
            <w:tcW w:w="653" w:type="pct"/>
            <w:noWrap w:val="0"/>
            <w:vAlign w:val="top"/>
          </w:tcPr>
          <w:p w14:paraId="3E6EB9A4">
            <w:pPr>
              <w:jc w:val="center"/>
              <w:rPr>
                <w:rFonts w:hint="eastAsia" w:ascii="仿宋" w:hAnsi="仿宋" w:eastAsia="仿宋" w:cs="仿宋"/>
              </w:rPr>
            </w:pPr>
          </w:p>
        </w:tc>
      </w:tr>
    </w:tbl>
    <w:p w14:paraId="44856DC3">
      <w:pPr>
        <w:rPr>
          <w:rFonts w:hint="eastAsia" w:ascii="仿宋" w:hAnsi="仿宋" w:eastAsia="仿宋" w:cs="仿宋"/>
          <w:sz w:val="21"/>
          <w:szCs w:val="21"/>
        </w:rPr>
      </w:pPr>
      <w:r>
        <w:rPr>
          <w:rFonts w:hint="eastAsia" w:ascii="仿宋" w:hAnsi="仿宋" w:eastAsia="仿宋" w:cs="仿宋"/>
          <w:sz w:val="21"/>
          <w:szCs w:val="21"/>
        </w:rPr>
        <w:t>说明：“变更原因”主要是分为：</w:t>
      </w:r>
    </w:p>
    <w:p w14:paraId="15A9A361">
      <w:pPr>
        <w:pStyle w:val="7"/>
        <w:numPr>
          <w:ilvl w:val="0"/>
          <w:numId w:val="1"/>
        </w:numPr>
        <w:ind w:firstLineChars="0"/>
        <w:rPr>
          <w:rFonts w:hint="eastAsia" w:ascii="仿宋" w:hAnsi="仿宋" w:eastAsia="仿宋" w:cs="仿宋"/>
          <w:sz w:val="21"/>
          <w:szCs w:val="21"/>
        </w:rPr>
      </w:pPr>
      <w:r>
        <w:rPr>
          <w:rFonts w:hint="eastAsia" w:ascii="仿宋" w:hAnsi="仿宋" w:eastAsia="仿宋" w:cs="仿宋"/>
          <w:sz w:val="21"/>
          <w:szCs w:val="21"/>
        </w:rPr>
        <w:t>建立初稿</w:t>
      </w:r>
    </w:p>
    <w:p w14:paraId="5E330A50">
      <w:pPr>
        <w:pStyle w:val="7"/>
        <w:numPr>
          <w:ilvl w:val="0"/>
          <w:numId w:val="1"/>
        </w:numPr>
        <w:ind w:firstLineChars="0"/>
        <w:rPr>
          <w:rFonts w:hint="eastAsia" w:ascii="仿宋" w:hAnsi="仿宋" w:eastAsia="仿宋" w:cs="仿宋"/>
          <w:sz w:val="21"/>
          <w:szCs w:val="21"/>
        </w:rPr>
      </w:pPr>
      <w:r>
        <w:rPr>
          <w:rFonts w:hint="eastAsia" w:ascii="仿宋" w:hAnsi="仿宋" w:eastAsia="仿宋" w:cs="仿宋"/>
          <w:sz w:val="21"/>
          <w:szCs w:val="21"/>
        </w:rPr>
        <w:t>内容修订</w:t>
      </w:r>
    </w:p>
    <w:p w14:paraId="07CCAA4D">
      <w:pPr>
        <w:pStyle w:val="7"/>
        <w:numPr>
          <w:ilvl w:val="0"/>
          <w:numId w:val="1"/>
        </w:numPr>
        <w:ind w:firstLineChars="0"/>
        <w:rPr>
          <w:rFonts w:hint="eastAsia" w:ascii="仿宋" w:hAnsi="仿宋" w:eastAsia="仿宋" w:cs="仿宋"/>
          <w:sz w:val="21"/>
          <w:szCs w:val="21"/>
        </w:rPr>
      </w:pPr>
      <w:r>
        <w:rPr>
          <w:rFonts w:hint="eastAsia" w:ascii="仿宋" w:hAnsi="仿宋" w:eastAsia="仿宋" w:cs="仿宋"/>
          <w:sz w:val="21"/>
          <w:szCs w:val="21"/>
        </w:rPr>
        <w:t>正式发布</w:t>
      </w:r>
    </w:p>
    <w:p w14:paraId="54283360">
      <w:pPr>
        <w:rPr>
          <w:rFonts w:hint="eastAsia"/>
          <w:lang w:val="en-US" w:eastAsia="zh-CN"/>
        </w:rPr>
      </w:pPr>
    </w:p>
    <w:p w14:paraId="46EDC4EA">
      <w:pPr>
        <w:rPr>
          <w:rFonts w:hint="eastAsia"/>
          <w:lang w:val="en-US" w:eastAsia="zh-CN"/>
        </w:rPr>
      </w:pPr>
    </w:p>
    <w:p w14:paraId="1D1F63F7">
      <w:pPr>
        <w:rPr>
          <w:rFonts w:hint="eastAsia"/>
          <w:lang w:val="en-US" w:eastAsia="zh-CN"/>
        </w:rPr>
      </w:pPr>
    </w:p>
    <w:p w14:paraId="4887E063">
      <w:pPr>
        <w:rPr>
          <w:rFonts w:hint="eastAsia"/>
          <w:lang w:val="en-US" w:eastAsia="zh-CN"/>
        </w:rPr>
      </w:pPr>
    </w:p>
    <w:p w14:paraId="6B556FB1">
      <w:pPr>
        <w:rPr>
          <w:rFonts w:hint="eastAsia"/>
          <w:lang w:val="en-US" w:eastAsia="zh-CN"/>
        </w:rPr>
      </w:pPr>
    </w:p>
    <w:p w14:paraId="2DE89216">
      <w:pPr>
        <w:rPr>
          <w:rFonts w:hint="eastAsia"/>
          <w:lang w:val="en-US" w:eastAsia="zh-CN"/>
        </w:rPr>
      </w:pPr>
    </w:p>
    <w:p w14:paraId="79BDE6AD">
      <w:pPr>
        <w:rPr>
          <w:rFonts w:hint="eastAsia"/>
          <w:lang w:val="en-US" w:eastAsia="zh-CN"/>
        </w:rPr>
      </w:pPr>
    </w:p>
    <w:p w14:paraId="140035DE">
      <w:pPr>
        <w:rPr>
          <w:rFonts w:hint="eastAsia"/>
          <w:lang w:val="en-US" w:eastAsia="zh-CN"/>
        </w:rPr>
      </w:pPr>
    </w:p>
    <w:p w14:paraId="206D2019">
      <w:pPr>
        <w:rPr>
          <w:rFonts w:hint="eastAsia"/>
          <w:lang w:val="en-US" w:eastAsia="zh-CN"/>
        </w:rPr>
      </w:pPr>
    </w:p>
    <w:p w14:paraId="5AAD95BB">
      <w:pPr>
        <w:rPr>
          <w:rFonts w:hint="eastAsia"/>
          <w:lang w:val="en-US" w:eastAsia="zh-CN"/>
        </w:rPr>
      </w:pPr>
    </w:p>
    <w:p w14:paraId="4786933B">
      <w:pPr>
        <w:rPr>
          <w:rFonts w:hint="eastAsia"/>
          <w:lang w:val="en-US" w:eastAsia="zh-CN"/>
        </w:rPr>
      </w:pPr>
    </w:p>
    <w:p w14:paraId="2990D95E">
      <w:pPr>
        <w:rPr>
          <w:rFonts w:hint="eastAsia"/>
          <w:lang w:val="en-US" w:eastAsia="zh-CN"/>
        </w:rPr>
      </w:pPr>
    </w:p>
    <w:p w14:paraId="4861996C">
      <w:pPr>
        <w:rPr>
          <w:rFonts w:hint="eastAsia"/>
          <w:lang w:val="en-US" w:eastAsia="zh-CN"/>
        </w:rPr>
      </w:pPr>
    </w:p>
    <w:p w14:paraId="5A3AE704">
      <w:pPr>
        <w:rPr>
          <w:rFonts w:hint="eastAsia"/>
          <w:lang w:val="en-US" w:eastAsia="zh-CN"/>
        </w:rPr>
      </w:pPr>
    </w:p>
    <w:p w14:paraId="7F9DD4A3">
      <w:pPr>
        <w:rPr>
          <w:rFonts w:hint="eastAsia"/>
          <w:lang w:val="en-US" w:eastAsia="zh-CN"/>
        </w:rPr>
      </w:pPr>
    </w:p>
    <w:p w14:paraId="121012EF">
      <w:pPr>
        <w:rPr>
          <w:rFonts w:hint="eastAsia"/>
          <w:lang w:val="en-US" w:eastAsia="zh-CN"/>
        </w:rPr>
      </w:pPr>
    </w:p>
    <w:p w14:paraId="69B03298">
      <w:pPr>
        <w:rPr>
          <w:rFonts w:hint="eastAsia"/>
          <w:lang w:val="en-US" w:eastAsia="zh-CN"/>
        </w:rPr>
      </w:pPr>
    </w:p>
    <w:p w14:paraId="2B37FE8C">
      <w:pPr>
        <w:rPr>
          <w:rFonts w:hint="eastAsia"/>
          <w:lang w:val="en-US" w:eastAsia="zh-CN"/>
        </w:rPr>
      </w:pPr>
    </w:p>
    <w:p w14:paraId="4F5FB6A3">
      <w:pPr>
        <w:rPr>
          <w:rFonts w:hint="eastAsia"/>
          <w:lang w:val="en-US" w:eastAsia="zh-CN"/>
        </w:rPr>
      </w:pPr>
    </w:p>
    <w:p w14:paraId="101A4EAF">
      <w:pPr>
        <w:rPr>
          <w:rFonts w:hint="eastAsia"/>
          <w:lang w:val="en-US" w:eastAsia="zh-CN"/>
        </w:rPr>
      </w:pPr>
    </w:p>
    <w:p w14:paraId="41F9495B">
      <w:pPr>
        <w:rPr>
          <w:rFonts w:hint="eastAsia"/>
          <w:lang w:val="en-US" w:eastAsia="zh-CN"/>
        </w:rPr>
      </w:pPr>
    </w:p>
    <w:p w14:paraId="18BEEEDC">
      <w:pPr>
        <w:rPr>
          <w:rFonts w:hint="eastAsia"/>
          <w:lang w:val="en-US" w:eastAsia="zh-CN"/>
        </w:rPr>
      </w:pPr>
    </w:p>
    <w:p w14:paraId="740E4EFD">
      <w:pPr>
        <w:rPr>
          <w:rFonts w:hint="eastAsia"/>
          <w:lang w:val="en-US" w:eastAsia="zh-CN"/>
        </w:rPr>
      </w:pPr>
    </w:p>
    <w:p w14:paraId="39E3EC5C">
      <w:pPr>
        <w:rPr>
          <w:rFonts w:hint="eastAsia"/>
          <w:lang w:val="en-US" w:eastAsia="zh-CN"/>
        </w:rPr>
      </w:pPr>
    </w:p>
    <w:p w14:paraId="6710CFC7">
      <w:pPr>
        <w:rPr>
          <w:rFonts w:hint="eastAsia"/>
          <w:lang w:val="en-US" w:eastAsia="zh-CN"/>
        </w:rPr>
      </w:pPr>
    </w:p>
    <w:p w14:paraId="6ED5CDC1">
      <w:pPr>
        <w:rPr>
          <w:rFonts w:hint="eastAsia"/>
          <w:lang w:val="en-US" w:eastAsia="zh-CN"/>
        </w:rPr>
      </w:pPr>
    </w:p>
    <w:p w14:paraId="3409C11C">
      <w:pPr>
        <w:rPr>
          <w:rFonts w:hint="eastAsia"/>
          <w:lang w:val="en-US" w:eastAsia="zh-CN"/>
        </w:rPr>
      </w:pPr>
    </w:p>
    <w:p w14:paraId="6C944402">
      <w:pPr>
        <w:rPr>
          <w:rFonts w:hint="eastAsia"/>
          <w:lang w:val="en-US" w:eastAsia="zh-CN"/>
        </w:rPr>
      </w:pPr>
    </w:p>
    <w:p w14:paraId="14808E40">
      <w:pPr>
        <w:rPr>
          <w:rFonts w:hint="eastAsia"/>
          <w:lang w:val="en-US" w:eastAsia="zh-CN"/>
        </w:rPr>
      </w:pPr>
    </w:p>
    <w:p w14:paraId="582D8A88">
      <w:pPr>
        <w:rPr>
          <w:rFonts w:hint="eastAsia"/>
          <w:lang w:val="en-US" w:eastAsia="zh-CN"/>
        </w:rPr>
      </w:pPr>
    </w:p>
    <w:p w14:paraId="7B800512">
      <w:pPr>
        <w:rPr>
          <w:rFonts w:hint="eastAsia"/>
          <w:lang w:val="en-US" w:eastAsia="zh-CN"/>
        </w:rPr>
      </w:pPr>
    </w:p>
    <w:p w14:paraId="6FE86183">
      <w:pPr>
        <w:rPr>
          <w:rFonts w:hint="eastAsia"/>
          <w:lang w:val="en-US" w:eastAsia="zh-CN"/>
        </w:rPr>
      </w:pPr>
    </w:p>
    <w:p w14:paraId="55E31C00">
      <w:pPr>
        <w:rPr>
          <w:rFonts w:hint="eastAsia"/>
          <w:lang w:val="en-US" w:eastAsia="zh-CN"/>
        </w:rPr>
      </w:pPr>
    </w:p>
    <w:p w14:paraId="37B1B3FF">
      <w:pPr>
        <w:rPr>
          <w:rFonts w:hint="eastAsia"/>
          <w:lang w:val="en-US" w:eastAsia="zh-CN"/>
        </w:rPr>
      </w:pPr>
    </w:p>
    <w:p w14:paraId="7F1CEBC9">
      <w:pPr>
        <w:numPr>
          <w:ilvl w:val="0"/>
          <w:numId w:val="2"/>
        </w:numPr>
        <w:ind w:left="425" w:leftChars="0" w:hanging="425" w:firstLineChars="0"/>
        <w:outlineLvl w:val="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项目背景与目标</w:t>
      </w:r>
    </w:p>
    <w:p w14:paraId="0000F568">
      <w:pPr>
        <w:numPr>
          <w:ilvl w:val="1"/>
          <w:numId w:val="2"/>
        </w:numPr>
        <w:ind w:left="567" w:leftChars="0" w:hanging="567" w:firstLineChars="0"/>
        <w:outlineLvl w:val="1"/>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背景</w:t>
      </w:r>
    </w:p>
    <w:p w14:paraId="46FA6AFD">
      <w:pPr>
        <w:numPr>
          <w:ilvl w:val="0"/>
          <w:numId w:val="0"/>
        </w:numPr>
        <w:ind w:firstLine="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当前公司业务部在开展业务人员业务数据统计工作时，存在较强的人工操作依赖性，具体流程如下：需先从柜台系统导出xlsx格式数据，再通过人工方式对业务人员名下各子分类（如 “张三”“张三 01”“张三 03” 等）的业务指标进行计算，该模式存在显著弊端：一是流程效率低下，人工计算环节易因重复操作产生时间损耗，同时为管理层获取数据统计结果带来滞后性，在需及时依靠数据统计结果执行决策或汇报业务场景下。可能导致决策时机错失或汇报内容时效性不足；二是数据核查成本高，人工校验需耗费大量精力且难以完全规避疏漏。</w:t>
      </w:r>
    </w:p>
    <w:p w14:paraId="69C0F9F7">
      <w:pPr>
        <w:numPr>
          <w:ilvl w:val="1"/>
          <w:numId w:val="2"/>
        </w:numPr>
        <w:ind w:left="567" w:leftChars="0" w:hanging="567" w:firstLineChars="0"/>
        <w:outlineLvl w:val="1"/>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目标</w:t>
      </w:r>
    </w:p>
    <w:p w14:paraId="376E92F6">
      <w:pPr>
        <w:numPr>
          <w:ilvl w:val="0"/>
          <w:numId w:val="3"/>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自动化数据流程：通过系统自动同步拉取柜台数据、聚合计算，替代人工操作。</w:t>
      </w:r>
    </w:p>
    <w:p w14:paraId="11B99F29">
      <w:pPr>
        <w:numPr>
          <w:ilvl w:val="0"/>
          <w:numId w:val="3"/>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可视化数据展示：通过BI图表或表格于web端展示业务人员的业务统计数据。</w:t>
      </w:r>
    </w:p>
    <w:p w14:paraId="692DA75F">
      <w:pPr>
        <w:numPr>
          <w:ilvl w:val="0"/>
          <w:numId w:val="3"/>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提升决策效率：支持按时间区间灵活查询。</w:t>
      </w:r>
    </w:p>
    <w:p w14:paraId="19EC7B77">
      <w:pPr>
        <w:numPr>
          <w:ilvl w:val="0"/>
          <w:numId w:val="3"/>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映射关系的建立与维护：构建业务人员客户类映射关系表，支持通过web端管理平台进行关联关系维护，解决数据溯源难题。</w:t>
      </w:r>
    </w:p>
    <w:p w14:paraId="607E0DA2">
      <w:pPr>
        <w:numPr>
          <w:ilvl w:val="0"/>
          <w:numId w:val="3"/>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系统用户权限管理：构建权限控制体系，支持客户部人员维护业务人员-客户类映射表权限配置，确保不同权限人员仅能查看其权限范围内的业务数据（如业务人员查看自身负责客户的业务数据、主管查看下属团队业务数据等），实现权限与数据范围精准匹配，保障业务数据访问安全与合规。</w:t>
      </w:r>
    </w:p>
    <w:p w14:paraId="30300E2F">
      <w:pPr>
        <w:numPr>
          <w:ilvl w:val="0"/>
          <w:numId w:val="2"/>
        </w:numPr>
        <w:ind w:left="425" w:leftChars="0" w:hanging="425" w:firstLineChars="0"/>
        <w:outlineLvl w:val="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项目范围</w:t>
      </w:r>
    </w:p>
    <w:p w14:paraId="28AA71C8">
      <w:pPr>
        <w:numPr>
          <w:ilvl w:val="1"/>
          <w:numId w:val="2"/>
        </w:numPr>
        <w:ind w:left="567" w:leftChars="0" w:hanging="567" w:firstLineChars="0"/>
        <w:outlineLvl w:val="1"/>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包含(In Scope)</w:t>
      </w:r>
    </w:p>
    <w:p w14:paraId="24BCDA95">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自动从柜台数据库拉取客户的客户类、客户号、属性代码、属性名称、开户日期、权益、手续费等原始数据到项目库，数据同步执行情况日志记录。</w:t>
      </w:r>
    </w:p>
    <w:p w14:paraId="7B0651C1">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基于业务人员客户类代码聚合其名下所有子类的客户数据。</w:t>
      </w:r>
    </w:p>
    <w:p w14:paraId="70B48435">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业务数据展示前端提供时间区间选择按钮。</w:t>
      </w:r>
    </w:p>
    <w:p w14:paraId="4E9D6F9B">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以数据表格形式展示展示统计指标：</w:t>
      </w:r>
    </w:p>
    <w:p w14:paraId="607247AF">
      <w:pPr>
        <w:numPr>
          <w:ilvl w:val="1"/>
          <w:numId w:val="4"/>
        </w:numPr>
        <w:tabs>
          <w:tab w:val="clear" w:pos="840"/>
        </w:tabs>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某选定区间内所有业务人员的新增客户/总客户数、交易日日均权益、期初/期末权益、入金、出金、净入金、手续费（汇总手续费）、留存手续费、总盈亏。</w:t>
      </w:r>
    </w:p>
    <w:p w14:paraId="273ACB4E">
      <w:pPr>
        <w:numPr>
          <w:ilvl w:val="1"/>
          <w:numId w:val="4"/>
        </w:numPr>
        <w:tabs>
          <w:tab w:val="clear" w:pos="840"/>
        </w:tabs>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某两个选定区间A和B，所有业务人员在周期A和B内的新增客户/总客户数、交易日日均权益、期初/期末权益、入金、出金、净入金、手续费（汇总手续费）、留存手续费、总盈亏的变化值。</w:t>
      </w:r>
    </w:p>
    <w:p w14:paraId="33476311">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开发业务人员-客户类关系维护系统（前端上传、编辑+后端存储）。</w:t>
      </w:r>
    </w:p>
    <w:p w14:paraId="5B023A8F">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用户权限控制（客户部维护映射表、不同权限人员查看各自权限内所能查看的业务数据）。</w:t>
      </w:r>
    </w:p>
    <w:p w14:paraId="33BB79AD">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支持导出业务统计数据xlsx表。</w:t>
      </w:r>
    </w:p>
    <w:p w14:paraId="2B9EE254">
      <w:pPr>
        <w:numPr>
          <w:ilvl w:val="0"/>
          <w:numId w:val="4"/>
        </w:numPr>
        <w:ind w:left="0" w:leftChars="0" w:firstLine="0" w:firstLineChars="0"/>
        <w:rPr>
          <w:rFonts w:hint="default" w:ascii="仿宋" w:hAnsi="仿宋" w:eastAsia="仿宋" w:cs="仿宋"/>
          <w:sz w:val="21"/>
          <w:szCs w:val="21"/>
          <w:lang w:val="en-US" w:eastAsia="zh-CN"/>
        </w:rPr>
      </w:pPr>
      <w:commentRangeStart w:id="0"/>
      <w:r>
        <w:rPr>
          <w:rFonts w:hint="eastAsia" w:ascii="仿宋" w:hAnsi="仿宋" w:eastAsia="仿宋" w:cs="仿宋"/>
          <w:sz w:val="21"/>
          <w:szCs w:val="21"/>
          <w:lang w:val="en-US" w:eastAsia="zh-CN"/>
        </w:rPr>
        <w:t>周报表，以数据图表形式展示以下统计信息：</w:t>
      </w:r>
    </w:p>
    <w:p w14:paraId="5B0BE651">
      <w:pPr>
        <w:numPr>
          <w:ilvl w:val="1"/>
          <w:numId w:val="4"/>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客户属性日均权益：以组合图展示指定期间内各个自然周的全部客户总权益、特殊法人客户总权益、法人客户总权益。</w:t>
      </w:r>
    </w:p>
    <w:p w14:paraId="28DBF2AC">
      <w:pPr>
        <w:numPr>
          <w:ilvl w:val="1"/>
          <w:numId w:val="4"/>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自开发/集团客户日均权益：以组合图展示指定期间内各个自然周的全部客户总权益、自开发客户总权益、集团客户总权益、自开发客户占比。</w:t>
      </w:r>
    </w:p>
    <w:p w14:paraId="336C2DB1">
      <w:pPr>
        <w:numPr>
          <w:ilvl w:val="1"/>
          <w:numId w:val="4"/>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客户期末权益：以组合图展示指定期间内各个自然周的全部客户总期末权益、总净入金、总盈亏、环比。</w:t>
      </w:r>
    </w:p>
    <w:p w14:paraId="741A2768">
      <w:pPr>
        <w:numPr>
          <w:ilvl w:val="1"/>
          <w:numId w:val="4"/>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成交持仓比：以组合图展示指定期间内各个自然周的全部客户总日均成交量、总日均持仓量、成交持仓比。</w:t>
      </w:r>
    </w:p>
    <w:p w14:paraId="4A7FB1FB">
      <w:pPr>
        <w:numPr>
          <w:ilvl w:val="1"/>
          <w:numId w:val="4"/>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客户数量：以组合图展示指定期间内各个自然周的总开户数、总客户数、总交易客户数。</w:t>
      </w:r>
    </w:p>
    <w:p w14:paraId="202A3485">
      <w:pPr>
        <w:numPr>
          <w:ilvl w:val="1"/>
          <w:numId w:val="4"/>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手续费：以组合图展示指定期间内各自然周的全部客户的总手续费、总留存手续费。</w:t>
      </w:r>
    </w:p>
    <w:p w14:paraId="2BB7A1BE">
      <w:pPr>
        <w:numPr>
          <w:ilvl w:val="1"/>
          <w:numId w:val="4"/>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品种盈利/亏损前五：以组合图展示指定期间内盈利前五、亏损前五的品种行标签、代码、盈亏值。</w:t>
      </w:r>
    </w:p>
    <w:p w14:paraId="77EB3A9D">
      <w:pPr>
        <w:numPr>
          <w:ilvl w:val="1"/>
          <w:numId w:val="4"/>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成交量占比前十、其他汇总：以饼状图展示指定期间内成交量前十的品种行标签、代码、成交数量，其他品种汇总展示。</w:t>
      </w:r>
    </w:p>
    <w:p w14:paraId="27519CDE">
      <w:pPr>
        <w:numPr>
          <w:ilvl w:val="1"/>
          <w:numId w:val="4"/>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平均持仓量占比前十、其他汇总：以饼状图展示指定期间内平均持仓量前十的品种行标签、代码、平均持仓量，其他品种汇总展示。</w:t>
      </w:r>
    </w:p>
    <w:p w14:paraId="18CBC7B8">
      <w:pPr>
        <w:numPr>
          <w:ilvl w:val="1"/>
          <w:numId w:val="4"/>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盈利&amp;净入金（按客户类型）：按客户类型以组合图展示指定期间内各类型客户（全部、特殊法人、法人、自然人）的总盈亏、总净入金。</w:t>
      </w:r>
      <w:commentRangeEnd w:id="0"/>
      <w:r>
        <w:commentReference w:id="0"/>
      </w:r>
    </w:p>
    <w:p w14:paraId="767BE87F">
      <w:pPr>
        <w:numPr>
          <w:ilvl w:val="1"/>
          <w:numId w:val="2"/>
        </w:numPr>
        <w:ind w:left="567" w:leftChars="0" w:hanging="567" w:firstLineChars="0"/>
        <w:outlineLvl w:val="1"/>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不包含(Out of Scope)</w:t>
      </w:r>
    </w:p>
    <w:p w14:paraId="6B2C8271">
      <w:pPr>
        <w:numPr>
          <w:ilvl w:val="0"/>
          <w:numId w:val="5"/>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柜台系统本身的修改（例如在柜台系统中创建、修改、删除表或表数据）。</w:t>
      </w:r>
    </w:p>
    <w:p w14:paraId="41C43C63">
      <w:pPr>
        <w:numPr>
          <w:ilvl w:val="0"/>
          <w:numId w:val="5"/>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客户基本信息的展示。</w:t>
      </w:r>
    </w:p>
    <w:p w14:paraId="2B31F224">
      <w:pPr>
        <w:numPr>
          <w:ilvl w:val="0"/>
          <w:numId w:val="5"/>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移动端页面开发（仅支持PC端Web访问）。</w:t>
      </w:r>
    </w:p>
    <w:p w14:paraId="2B648040">
      <w:pPr>
        <w:numPr>
          <w:ilvl w:val="0"/>
          <w:numId w:val="2"/>
        </w:numPr>
        <w:ind w:left="425" w:leftChars="0" w:hanging="425" w:firstLineChars="0"/>
        <w:outlineLvl w:val="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用户角色与画像</w:t>
      </w:r>
    </w:p>
    <w:p w14:paraId="318225E6">
      <w:pPr>
        <w:numPr>
          <w:ilvl w:val="0"/>
          <w:numId w:val="6"/>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客服专员(关键用户)：</w:t>
      </w:r>
    </w:p>
    <w:p w14:paraId="57293EFC">
      <w:pPr>
        <w:numPr>
          <w:ilvl w:val="0"/>
          <w:numId w:val="0"/>
        </w:numP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负责维护业务人员客户类映射关系，核心需求：可高效且便捷地通过文件上传功能更新映射表、通过前台界面对业务人员客户类映射关系进行编辑，确保数据准确性。</w:t>
      </w:r>
    </w:p>
    <w:p w14:paraId="03631D7E">
      <w:pPr>
        <w:numPr>
          <w:ilvl w:val="0"/>
          <w:numId w:val="7"/>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业务主管、业务人员(主要用户)</w:t>
      </w:r>
    </w:p>
    <w:p w14:paraId="3CB4A7BE">
      <w:pPr>
        <w:numPr>
          <w:ilvl w:val="0"/>
          <w:numId w:val="0"/>
        </w:numP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需监控业务团队业绩指标，核心需求：可灵活且直观查看某期间内业务人员的业务汇总数据、周报表。</w:t>
      </w:r>
    </w:p>
    <w:p w14:paraId="27F82EED">
      <w:pPr>
        <w:numPr>
          <w:ilvl w:val="0"/>
          <w:numId w:val="8"/>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IT管理员(次要用户)</w:t>
      </w:r>
    </w:p>
    <w:p w14:paraId="242AB684">
      <w:pPr>
        <w:numPr>
          <w:ilvl w:val="0"/>
          <w:numId w:val="0"/>
        </w:numPr>
        <w:ind w:left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负责系统部署与维护，核心需求：系统稳定性、数据同步异常告警、日志可追溯。</w:t>
      </w:r>
    </w:p>
    <w:p w14:paraId="1B195551">
      <w:pPr>
        <w:numPr>
          <w:ilvl w:val="0"/>
          <w:numId w:val="8"/>
        </w:numPr>
        <w:ind w:left="420" w:leftChars="0" w:hanging="42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用户权限管理员(次要用户)</w:t>
      </w:r>
    </w:p>
    <w:p w14:paraId="13A6B11F">
      <w:pPr>
        <w:numPr>
          <w:ilvl w:val="0"/>
          <w:numId w:val="0"/>
        </w:numPr>
        <w:ind w:leftChars="0"/>
        <w:rPr>
          <w:rFonts w:hint="eastAsia" w:ascii="仿宋" w:hAnsi="仿宋" w:eastAsia="仿宋" w:cs="仿宋"/>
          <w:sz w:val="21"/>
          <w:szCs w:val="21"/>
          <w:lang w:val="en-US" w:eastAsia="zh-CN"/>
        </w:rPr>
      </w:pPr>
      <w:r>
        <w:rPr>
          <w:rFonts w:hint="eastAsia" w:ascii="仿宋" w:hAnsi="仿宋" w:eastAsia="仿宋" w:cs="仿宋"/>
          <w:i w:val="0"/>
          <w:iCs w:val="0"/>
          <w:caps w:val="0"/>
          <w:spacing w:val="0"/>
          <w:sz w:val="21"/>
          <w:szCs w:val="21"/>
          <w:shd w:val="clear"/>
        </w:rPr>
        <w:t>负责管理系统内各用户的权限分配与回收，核心需求：能便捷、精准地为不同用户（如客服专员、业务主管</w:t>
      </w:r>
      <w:r>
        <w:rPr>
          <w:rFonts w:hint="eastAsia" w:ascii="仿宋" w:hAnsi="仿宋" w:eastAsia="仿宋" w:cs="仿宋"/>
          <w:i w:val="0"/>
          <w:iCs w:val="0"/>
          <w:caps w:val="0"/>
          <w:spacing w:val="0"/>
          <w:sz w:val="21"/>
          <w:szCs w:val="21"/>
          <w:shd w:val="clear"/>
          <w:lang w:eastAsia="zh-CN"/>
        </w:rPr>
        <w:t>、</w:t>
      </w:r>
      <w:r>
        <w:rPr>
          <w:rFonts w:hint="eastAsia" w:ascii="仿宋" w:hAnsi="仿宋" w:eastAsia="仿宋" w:cs="仿宋"/>
          <w:i w:val="0"/>
          <w:iCs w:val="0"/>
          <w:caps w:val="0"/>
          <w:spacing w:val="0"/>
          <w:sz w:val="21"/>
          <w:szCs w:val="21"/>
          <w:shd w:val="clear"/>
          <w:lang w:val="en-US" w:eastAsia="zh-CN"/>
        </w:rPr>
        <w:t>业务人员</w:t>
      </w:r>
      <w:r>
        <w:rPr>
          <w:rFonts w:hint="eastAsia" w:ascii="仿宋" w:hAnsi="仿宋" w:eastAsia="仿宋" w:cs="仿宋"/>
          <w:i w:val="0"/>
          <w:iCs w:val="0"/>
          <w:caps w:val="0"/>
          <w:spacing w:val="0"/>
          <w:sz w:val="21"/>
          <w:szCs w:val="21"/>
          <w:shd w:val="clear"/>
        </w:rPr>
        <w:t>等）配置符合其职责的系统操作权限，避免权限过高或过低</w:t>
      </w:r>
      <w:r>
        <w:rPr>
          <w:rFonts w:hint="eastAsia" w:ascii="仿宋" w:hAnsi="仿宋" w:eastAsia="仿宋" w:cs="仿宋"/>
          <w:i w:val="0"/>
          <w:iCs w:val="0"/>
          <w:caps w:val="0"/>
          <w:spacing w:val="0"/>
          <w:sz w:val="21"/>
          <w:szCs w:val="21"/>
          <w:shd w:val="clear"/>
          <w:lang w:eastAsia="zh-CN"/>
        </w:rPr>
        <w:t>。</w:t>
      </w:r>
    </w:p>
    <w:p w14:paraId="462BBE82">
      <w:pPr>
        <w:numPr>
          <w:ilvl w:val="-1"/>
          <w:numId w:val="0"/>
        </w:numPr>
        <w:ind w:left="0" w:leftChars="0" w:firstLine="0"/>
        <w:rPr>
          <w:rFonts w:hint="default" w:ascii="仿宋" w:hAnsi="仿宋" w:eastAsia="仿宋" w:cs="仿宋"/>
          <w:sz w:val="21"/>
          <w:szCs w:val="21"/>
          <w:lang w:val="en-US" w:eastAsia="zh-CN"/>
        </w:rPr>
      </w:pPr>
    </w:p>
    <w:p w14:paraId="7DB1C2DC">
      <w:pPr>
        <w:numPr>
          <w:ilvl w:val="0"/>
          <w:numId w:val="2"/>
        </w:numPr>
        <w:ind w:left="425" w:leftChars="0" w:hanging="425" w:firstLineChars="0"/>
        <w:outlineLvl w:val="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功能性需求</w:t>
      </w:r>
    </w:p>
    <w:p w14:paraId="3D57470A">
      <w:pPr>
        <w:numPr>
          <w:ilvl w:val="0"/>
          <w:numId w:val="9"/>
        </w:numPr>
        <w:ind w:left="42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FR1:业务人员客户类关系管理</w:t>
      </w:r>
    </w:p>
    <w:p w14:paraId="798A8BB9">
      <w:pPr>
        <w:numPr>
          <w:ilvl w:val="1"/>
          <w:numId w:val="9"/>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FR1.1:客服专员可以上传csv、xlsx格式映射表（字段：级别代码、级别名称、子类代码、子类名称、备注等）。</w:t>
      </w:r>
    </w:p>
    <w:p w14:paraId="49295C8E">
      <w:pPr>
        <w:numPr>
          <w:ilvl w:val="1"/>
          <w:numId w:val="9"/>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FR1.2:系统校验数据格式，若存在空文件、错误格式、字段缺省等问题时提示具体的错误原因。</w:t>
      </w:r>
    </w:p>
    <w:p w14:paraId="730E2338">
      <w:pPr>
        <w:numPr>
          <w:ilvl w:val="1"/>
          <w:numId w:val="9"/>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FR1.3:客户类所属业务人员关系表的前台显示与编辑操作，前台以表格形式呈现后台数据库存储的客户类所属业务人员关系表，提供单条目增加、批量删除、单条目修改操作。</w:t>
      </w:r>
    </w:p>
    <w:p w14:paraId="552745B8">
      <w:pPr>
        <w:numPr>
          <w:ilvl w:val="1"/>
          <w:numId w:val="9"/>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FR1.4:前台显示以及后台存储的关系映射表，在维护人员进行文件上传、通过前台界面对客户类所属业务人员关系表进行增、删、改操作后及时更新</w:t>
      </w:r>
    </w:p>
    <w:p w14:paraId="493DDD1C">
      <w:pPr>
        <w:numPr>
          <w:ilvl w:val="0"/>
          <w:numId w:val="9"/>
        </w:numPr>
        <w:ind w:left="42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FR2:基础数据初始全量同步与每日增量同步</w:t>
      </w:r>
    </w:p>
    <w:p w14:paraId="7E4BC9DD">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FR2.1:系统首次从柜台拉取全量数据（20250101至今），往后每日定时从柜台数据库拉取增量数据。</w:t>
      </w:r>
    </w:p>
    <w:p w14:paraId="39E840F2">
      <w:pPr>
        <w:numPr>
          <w:ilvl w:val="0"/>
          <w:numId w:val="9"/>
        </w:numPr>
        <w:ind w:left="42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FR3:周期业务统计数据查询与展示</w:t>
      </w:r>
    </w:p>
    <w:p w14:paraId="7AD02CFB">
      <w:pPr>
        <w:numPr>
          <w:ilvl w:val="1"/>
          <w:numId w:val="10"/>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FR3.1：前端支持快捷区间（近1周、近一月、近三月）、时间区间选择器、显示查询周期。</w:t>
      </w:r>
    </w:p>
    <w:p w14:paraId="1C1C3D65">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FR3.2：表格视图——展示所有业务人员指标（字段：新增客户/总客户数、交易日日均权益、期初/期末权益、入金、出金、净入金、手续费（汇总手续费）、留存手续费、总盈亏等）。</w:t>
      </w:r>
    </w:p>
    <w:p w14:paraId="06DED546">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FR3.3:前台查询某周期的业务汇总数据时，后台按业务人员聚合计算所选区间内的新增客户/总客户数、交易日日均权益、期初/期末权益、入金、出金、净入金、手续费（汇总手续费）、留存手续费、总盈亏。</w:t>
      </w:r>
    </w:p>
    <w:p w14:paraId="2345592A">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FR3.4:周期业务数据指标项差异查询——支持用户自定义选择两个时间周期，支持通过表格视图分别查看各指标项在两个时间周期内的详细值以及周期差值。</w:t>
      </w:r>
    </w:p>
    <w:p w14:paraId="52FB55C4">
      <w:pPr>
        <w:numPr>
          <w:ilvl w:val="0"/>
          <w:numId w:val="9"/>
        </w:numPr>
        <w:ind w:left="42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FR4:数据导出下载</w:t>
      </w:r>
    </w:p>
    <w:p w14:paraId="01CA2EA6">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前端支持通过下载按钮导出当前页已查询出的业务统计数据——周期业务统计数据明细，包括所有业务人员新增客户/总客户数、交易日日均权益、期初/期末权益、入金、出金、净入金、手续费（汇总手续费）、留存手续费、总盈亏以及各个指标项的总累计合计；周期业务数据指标项差异查询的数据导出，设周期A与周期B，指定查询某一指标项（设查询新增手续费），导出数据将包含所查询出的所有业务人员在周期A与周期B新增客户值以及周期差异值。</w:t>
      </w:r>
    </w:p>
    <w:p w14:paraId="1BBD852C">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导出xlsx格式的数据文件</w:t>
      </w:r>
    </w:p>
    <w:p w14:paraId="77297B35">
      <w:pPr>
        <w:numPr>
          <w:ilvl w:val="0"/>
          <w:numId w:val="11"/>
        </w:numPr>
        <w:ind w:left="42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FR5:权限管理</w:t>
      </w:r>
    </w:p>
    <w:p w14:paraId="15FF67B7">
      <w:pPr>
        <w:numPr>
          <w:ilvl w:val="-1"/>
          <w:numId w:val="0"/>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FR5.1:权限配置功能，支持查看现有用户操作权限与周期业务数据查看权限，支持新增、删除用户，同时支持为不同用户配置不同操作权限以及可查看的业务数据范围权限。</w:t>
      </w:r>
    </w:p>
    <w:p w14:paraId="5916CC5F">
      <w:pPr>
        <w:numPr>
          <w:ilvl w:val="0"/>
          <w:numId w:val="9"/>
        </w:numPr>
        <w:ind w:left="42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FR6:系统管理</w:t>
      </w:r>
    </w:p>
    <w:p w14:paraId="04D48C8C">
      <w:pPr>
        <w:numPr>
          <w:ilvl w:val="1"/>
          <w:numId w:val="10"/>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FR5.1：管理员可灵活配置柜台数据库连接参数</w:t>
      </w:r>
    </w:p>
    <w:p w14:paraId="65102081">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FR5.2：数据同步日志查看（最后同步执行时间、同步后数据源/目标源数据总量、增量同步数据量、及是否存在异常等等）</w:t>
      </w:r>
    </w:p>
    <w:p w14:paraId="1BB1DD0D">
      <w:pPr>
        <w:numPr>
          <w:ilvl w:val="0"/>
          <w:numId w:val="2"/>
        </w:numPr>
        <w:ind w:left="425" w:leftChars="0" w:hanging="425" w:firstLineChars="0"/>
        <w:outlineLvl w:val="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非功能性需求</w:t>
      </w:r>
    </w:p>
    <w:p w14:paraId="034BC58C">
      <w:pPr>
        <w:numPr>
          <w:ilvl w:val="0"/>
          <w:numId w:val="9"/>
        </w:numPr>
        <w:ind w:left="42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数据准确性：</w:t>
      </w:r>
    </w:p>
    <w:p w14:paraId="21F11258">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NFR1.1:系统所展示的周期业务统计数据与柜台业务数据进行比对，误差率≤0.1%。</w:t>
      </w:r>
    </w:p>
    <w:p w14:paraId="230A0E31">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NFR1.2:自动数据同步情况需记录日志（全量、增量同步时间，数据一致性情况等），支持审计追溯。</w:t>
      </w:r>
    </w:p>
    <w:p w14:paraId="087FC936">
      <w:pPr>
        <w:numPr>
          <w:ilvl w:val="0"/>
          <w:numId w:val="9"/>
        </w:numPr>
        <w:ind w:left="42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性能：</w:t>
      </w:r>
    </w:p>
    <w:p w14:paraId="40A6C1B1">
      <w:pPr>
        <w:numPr>
          <w:ilvl w:val="1"/>
          <w:numId w:val="10"/>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NFR2.1:查询一年内的业务数据响应时间≤10秒。</w:t>
      </w:r>
    </w:p>
    <w:p w14:paraId="7DD57C61">
      <w:pPr>
        <w:numPr>
          <w:ilvl w:val="0"/>
          <w:numId w:val="9"/>
        </w:numPr>
        <w:ind w:left="42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可靠性：</w:t>
      </w:r>
    </w:p>
    <w:p w14:paraId="42B00991">
      <w:pPr>
        <w:numPr>
          <w:ilvl w:val="1"/>
          <w:numId w:val="10"/>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NFR3.1:数据同步容错——当日增量同步失败时，系统应自动重试（如3次），仍失败则告警管理员。</w:t>
      </w:r>
    </w:p>
    <w:p w14:paraId="24315418">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NFR3.1:日增量数据同步、处理结束后自动更新同步状态监控表以供管理员查看跟踪，保证不丢数据。</w:t>
      </w:r>
    </w:p>
    <w:p w14:paraId="61B3A6F8">
      <w:pPr>
        <w:numPr>
          <w:ilvl w:val="0"/>
          <w:numId w:val="9"/>
        </w:numPr>
        <w:ind w:left="42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安全性：</w:t>
      </w:r>
    </w:p>
    <w:p w14:paraId="5F2E4977">
      <w:pPr>
        <w:numPr>
          <w:ilvl w:val="1"/>
          <w:numId w:val="10"/>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NFR4.1:客户类关系映射表上传、编辑权限以及业务汇总数据查看权限仅限指定角色。</w:t>
      </w:r>
    </w:p>
    <w:p w14:paraId="2AEFA9A5">
      <w:pPr>
        <w:numPr>
          <w:ilvl w:val="0"/>
          <w:numId w:val="2"/>
        </w:numPr>
        <w:ind w:left="425" w:leftChars="0" w:hanging="425" w:firstLineChars="0"/>
        <w:outlineLvl w:val="0"/>
        <w:rPr>
          <w:rFonts w:hint="default" w:ascii="仿宋" w:hAnsi="仿宋" w:eastAsia="仿宋" w:cs="仿宋"/>
          <w:b/>
          <w:bCs/>
          <w:sz w:val="28"/>
          <w:szCs w:val="28"/>
          <w:lang w:val="en-US" w:eastAsia="zh-CN"/>
        </w:rPr>
      </w:pPr>
      <w:bookmarkStart w:id="0" w:name="_GoBack"/>
      <w:bookmarkEnd w:id="0"/>
      <w:r>
        <w:rPr>
          <w:rFonts w:hint="eastAsia" w:ascii="仿宋" w:hAnsi="仿宋" w:eastAsia="仿宋" w:cs="仿宋"/>
          <w:b/>
          <w:bCs/>
          <w:sz w:val="28"/>
          <w:szCs w:val="28"/>
          <w:lang w:val="en-US" w:eastAsia="zh-CN"/>
        </w:rPr>
        <w:t>关键业务规则</w:t>
      </w:r>
    </w:p>
    <w:p w14:paraId="572226F5">
      <w:pPr>
        <w:numPr>
          <w:ilvl w:val="0"/>
          <w:numId w:val="9"/>
        </w:numPr>
        <w:ind w:left="42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计算规则：</w:t>
      </w:r>
    </w:p>
    <w:p w14:paraId="5571DEC3">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总客户数=截至查询周期的结束日期（包含）的客户总数（刨除销户客户的历史客户总数）（</w:t>
      </w:r>
      <w:r>
        <w:rPr>
          <w:rFonts w:hint="eastAsia" w:ascii="仿宋" w:hAnsi="仿宋" w:eastAsia="仿宋" w:cs="仿宋"/>
          <w:color w:val="0000FF"/>
          <w:sz w:val="21"/>
          <w:szCs w:val="21"/>
          <w:lang w:val="en-US" w:eastAsia="zh-CN"/>
        </w:rPr>
        <w:t>基于客户信息表-开户日期、客户状态字段</w:t>
      </w:r>
      <w:r>
        <w:rPr>
          <w:rFonts w:hint="eastAsia" w:ascii="仿宋" w:hAnsi="仿宋" w:eastAsia="仿宋" w:cs="仿宋"/>
          <w:sz w:val="21"/>
          <w:szCs w:val="21"/>
          <w:lang w:val="en-US" w:eastAsia="zh-CN"/>
        </w:rPr>
        <w:t>）</w:t>
      </w:r>
    </w:p>
    <w:p w14:paraId="470FE6B6">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新增客户数=指定[开始时间,结束时间]周期内新开户的客户数（</w:t>
      </w:r>
      <w:r>
        <w:rPr>
          <w:rFonts w:hint="eastAsia" w:ascii="仿宋" w:hAnsi="仿宋" w:eastAsia="仿宋" w:cs="仿宋"/>
          <w:color w:val="0000FF"/>
          <w:sz w:val="21"/>
          <w:szCs w:val="21"/>
          <w:lang w:val="en-US" w:eastAsia="zh-CN"/>
        </w:rPr>
        <w:t>基于客户信息表-开户日期字段</w:t>
      </w:r>
      <w:r>
        <w:rPr>
          <w:rFonts w:hint="eastAsia" w:ascii="仿宋" w:hAnsi="仿宋" w:eastAsia="仿宋" w:cs="仿宋"/>
          <w:sz w:val="21"/>
          <w:szCs w:val="21"/>
          <w:lang w:val="en-US" w:eastAsia="zh-CN"/>
        </w:rPr>
        <w:t>）</w:t>
      </w:r>
    </w:p>
    <w:p w14:paraId="66B4FA0C">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交易日日均权益=指定[开始时间,结束时间]周期内某业务人员所有客户的交易日的期末权益合计/交易日天数。（</w:t>
      </w:r>
      <w:r>
        <w:rPr>
          <w:rFonts w:hint="eastAsia" w:ascii="仿宋" w:hAnsi="仿宋" w:eastAsia="仿宋" w:cs="仿宋"/>
          <w:color w:val="0000FF"/>
          <w:sz w:val="21"/>
          <w:szCs w:val="21"/>
          <w:lang w:val="en-US" w:eastAsia="zh-CN"/>
        </w:rPr>
        <w:t>基于资金对账表-期末权益字段</w:t>
      </w:r>
      <w:r>
        <w:rPr>
          <w:rFonts w:hint="eastAsia" w:ascii="仿宋" w:hAnsi="仿宋" w:eastAsia="仿宋" w:cs="仿宋"/>
          <w:sz w:val="21"/>
          <w:szCs w:val="21"/>
          <w:lang w:val="en-US" w:eastAsia="zh-CN"/>
        </w:rPr>
        <w:t>）</w:t>
      </w:r>
    </w:p>
    <w:p w14:paraId="342A8498">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期初权益=指定[开始时间,结束时间]周期内某业务人员所有客户的期初权益合计。独立客户的期初权益取开始时间当日的上日结存/上日权益；若开始时间为非交易日，需取上一个最近交易日的期末权益。（</w:t>
      </w:r>
      <w:r>
        <w:rPr>
          <w:rFonts w:hint="eastAsia" w:ascii="仿宋" w:hAnsi="仿宋" w:eastAsia="仿宋" w:cs="仿宋"/>
          <w:color w:val="0000FF"/>
          <w:sz w:val="21"/>
          <w:szCs w:val="21"/>
          <w:lang w:val="en-US" w:eastAsia="zh-CN"/>
        </w:rPr>
        <w:t>基于资金对账表-上日结存权益、期末权益字段</w:t>
      </w:r>
      <w:r>
        <w:rPr>
          <w:rFonts w:hint="eastAsia" w:ascii="仿宋" w:hAnsi="仿宋" w:eastAsia="仿宋" w:cs="仿宋"/>
          <w:sz w:val="21"/>
          <w:szCs w:val="21"/>
          <w:lang w:val="en-US" w:eastAsia="zh-CN"/>
        </w:rPr>
        <w:t>）</w:t>
      </w:r>
    </w:p>
    <w:p w14:paraId="7FD3EFF1">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期末权益=指定[开始时间,结束时间]周期内某业务人员所有客户的的期末权益合计。独立客户的期末权益取结束时间当日的期末权益，若结束时间为非交易日，需取上一个最近交易日的期末权益。（</w:t>
      </w:r>
      <w:r>
        <w:rPr>
          <w:rFonts w:hint="eastAsia" w:ascii="仿宋" w:hAnsi="仿宋" w:eastAsia="仿宋" w:cs="仿宋"/>
          <w:color w:val="0000FF"/>
          <w:sz w:val="21"/>
          <w:szCs w:val="21"/>
          <w:lang w:val="en-US" w:eastAsia="zh-CN"/>
        </w:rPr>
        <w:t>基于资金对账表-期末权益字段</w:t>
      </w:r>
      <w:r>
        <w:rPr>
          <w:rFonts w:hint="eastAsia" w:ascii="仿宋" w:hAnsi="仿宋" w:eastAsia="仿宋" w:cs="仿宋"/>
          <w:sz w:val="21"/>
          <w:szCs w:val="21"/>
          <w:lang w:val="en-US" w:eastAsia="zh-CN"/>
        </w:rPr>
        <w:t>）</w:t>
      </w:r>
    </w:p>
    <w:p w14:paraId="034C158C">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入金=指定[开始时间,结束时间]周期内某业务人员所有客户的入金合计。（</w:t>
      </w:r>
      <w:r>
        <w:rPr>
          <w:rFonts w:hint="eastAsia" w:ascii="仿宋" w:hAnsi="仿宋" w:eastAsia="仿宋" w:cs="仿宋"/>
          <w:color w:val="0000FF"/>
          <w:sz w:val="21"/>
          <w:szCs w:val="21"/>
          <w:lang w:val="en-US" w:eastAsia="zh-CN"/>
        </w:rPr>
        <w:t>基于资金对账表-入金字段</w:t>
      </w:r>
      <w:r>
        <w:rPr>
          <w:rFonts w:hint="eastAsia" w:ascii="仿宋" w:hAnsi="仿宋" w:eastAsia="仿宋" w:cs="仿宋"/>
          <w:sz w:val="21"/>
          <w:szCs w:val="21"/>
          <w:lang w:val="en-US" w:eastAsia="zh-CN"/>
        </w:rPr>
        <w:t>）</w:t>
      </w:r>
    </w:p>
    <w:p w14:paraId="12653822">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出金=指定[开始时间,结束时间]周期内某业务人员所有客户的出金合计。（</w:t>
      </w:r>
      <w:r>
        <w:rPr>
          <w:rFonts w:hint="eastAsia" w:ascii="仿宋" w:hAnsi="仿宋" w:eastAsia="仿宋" w:cs="仿宋"/>
          <w:color w:val="0000FF"/>
          <w:sz w:val="21"/>
          <w:szCs w:val="21"/>
          <w:lang w:val="en-US" w:eastAsia="zh-CN"/>
        </w:rPr>
        <w:t>基于资金对账表-出金字段</w:t>
      </w:r>
      <w:r>
        <w:rPr>
          <w:rFonts w:hint="eastAsia" w:ascii="仿宋" w:hAnsi="仿宋" w:eastAsia="仿宋" w:cs="仿宋"/>
          <w:sz w:val="21"/>
          <w:szCs w:val="21"/>
          <w:lang w:val="en-US" w:eastAsia="zh-CN"/>
        </w:rPr>
        <w:t>）</w:t>
      </w:r>
    </w:p>
    <w:p w14:paraId="24916FE4">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净入金=指定[开始时间,结束时间]周期内某业务人员所有客户的入金合计减去出金合计。（</w:t>
      </w:r>
      <w:r>
        <w:rPr>
          <w:rFonts w:hint="eastAsia" w:ascii="仿宋" w:hAnsi="仿宋" w:eastAsia="仿宋" w:cs="仿宋"/>
          <w:color w:val="0000FF"/>
          <w:sz w:val="21"/>
          <w:szCs w:val="21"/>
          <w:lang w:val="en-US" w:eastAsia="zh-CN"/>
        </w:rPr>
        <w:t>基于资金对账表-入金、出金字段</w:t>
      </w:r>
      <w:r>
        <w:rPr>
          <w:rFonts w:hint="eastAsia" w:ascii="仿宋" w:hAnsi="仿宋" w:eastAsia="仿宋" w:cs="仿宋"/>
          <w:sz w:val="21"/>
          <w:szCs w:val="21"/>
          <w:lang w:val="en-US" w:eastAsia="zh-CN"/>
        </w:rPr>
        <w:t>）</w:t>
      </w:r>
    </w:p>
    <w:p w14:paraId="78A23EC0">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汇总手续费=[开始时间,结束时间]周期内某业务人员所有客户的汇总手续费合计。（</w:t>
      </w:r>
      <w:r>
        <w:rPr>
          <w:rFonts w:hint="eastAsia" w:ascii="仿宋" w:hAnsi="仿宋" w:eastAsia="仿宋" w:cs="仿宋"/>
          <w:color w:val="0000FF"/>
          <w:sz w:val="21"/>
          <w:szCs w:val="21"/>
          <w:lang w:val="en-US" w:eastAsia="zh-CN"/>
        </w:rPr>
        <w:t>基于资金对账表-汇总手续费字段</w:t>
      </w:r>
      <w:r>
        <w:rPr>
          <w:rFonts w:hint="eastAsia" w:ascii="仿宋" w:hAnsi="仿宋" w:eastAsia="仿宋" w:cs="仿宋"/>
          <w:sz w:val="21"/>
          <w:szCs w:val="21"/>
          <w:lang w:val="en-US" w:eastAsia="zh-CN"/>
        </w:rPr>
        <w:t>）</w:t>
      </w:r>
    </w:p>
    <w:p w14:paraId="30A2DF59">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留存手续费=指定[开始时间,结束时间]周期内某业务人员所有客户的汇总手续费合计-汇总上交手续费合计。（</w:t>
      </w:r>
      <w:r>
        <w:rPr>
          <w:rFonts w:hint="eastAsia" w:ascii="仿宋" w:hAnsi="仿宋" w:eastAsia="仿宋" w:cs="仿宋"/>
          <w:color w:val="0000FF"/>
          <w:sz w:val="21"/>
          <w:szCs w:val="21"/>
          <w:lang w:val="en-US" w:eastAsia="zh-CN"/>
        </w:rPr>
        <w:t>基于资金对账表-汇总手续费、汇总上交手续费字段</w:t>
      </w:r>
      <w:r>
        <w:rPr>
          <w:rFonts w:hint="eastAsia" w:ascii="仿宋" w:hAnsi="仿宋" w:eastAsia="仿宋" w:cs="仿宋"/>
          <w:sz w:val="21"/>
          <w:szCs w:val="21"/>
          <w:lang w:val="en-US" w:eastAsia="zh-CN"/>
        </w:rPr>
        <w:t>）</w:t>
      </w:r>
    </w:p>
    <w:p w14:paraId="74E07718">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总盈亏=指定[开始时间,结束时间]周期内某业务人员所有客户的盈亏合计。（</w:t>
      </w:r>
      <w:r>
        <w:rPr>
          <w:rFonts w:hint="eastAsia" w:ascii="仿宋" w:hAnsi="仿宋" w:eastAsia="仿宋" w:cs="仿宋"/>
          <w:color w:val="0000FF"/>
          <w:sz w:val="21"/>
          <w:szCs w:val="21"/>
          <w:lang w:val="en-US" w:eastAsia="zh-CN"/>
        </w:rPr>
        <w:t>基于资金对账表-当日盈亏字段</w:t>
      </w:r>
      <w:r>
        <w:rPr>
          <w:rFonts w:hint="eastAsia" w:ascii="仿宋" w:hAnsi="仿宋" w:eastAsia="仿宋" w:cs="仿宋"/>
          <w:sz w:val="21"/>
          <w:szCs w:val="21"/>
          <w:lang w:val="en-US" w:eastAsia="zh-CN"/>
        </w:rPr>
        <w:t>）</w:t>
      </w:r>
    </w:p>
    <w:p w14:paraId="79F0A8D9">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指定周期A与周期B的A、B周期差值=周期A的指标值-周期B的指标值</w:t>
      </w:r>
    </w:p>
    <w:p w14:paraId="2B47AEA3">
      <w:pPr>
        <w:numPr>
          <w:ilvl w:val="0"/>
          <w:numId w:val="0"/>
        </w:numPr>
        <w:ind w:left="420" w:leftChars="0"/>
        <w:rPr>
          <w:rFonts w:hint="default" w:ascii="仿宋" w:hAnsi="仿宋" w:eastAsia="仿宋" w:cs="仿宋"/>
          <w:sz w:val="21"/>
          <w:szCs w:val="21"/>
          <w:lang w:val="en-US" w:eastAsia="zh-CN"/>
        </w:rPr>
      </w:pPr>
    </w:p>
    <w:p w14:paraId="69735571">
      <w:pPr>
        <w:numPr>
          <w:ilvl w:val="0"/>
          <w:numId w:val="9"/>
        </w:numPr>
        <w:ind w:left="42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时间区间规则：</w:t>
      </w:r>
    </w:p>
    <w:p w14:paraId="640D5031">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支持自定义日期，精确到日。</w:t>
      </w:r>
    </w:p>
    <w:p w14:paraId="59B0EEB9">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最大查询范围：</w:t>
      </w:r>
    </w:p>
    <w:p w14:paraId="22492920">
      <w:pPr>
        <w:numPr>
          <w:ilvl w:val="2"/>
          <w:numId w:val="10"/>
        </w:numPr>
        <w:ind w:left="126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最远时间：20250101。</w:t>
      </w:r>
    </w:p>
    <w:p w14:paraId="0B844D9D">
      <w:pPr>
        <w:numPr>
          <w:ilvl w:val="2"/>
          <w:numId w:val="10"/>
        </w:numPr>
        <w:ind w:left="126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最近时间：查询操作执行日T-1。</w:t>
      </w:r>
    </w:p>
    <w:p w14:paraId="1AA04C84">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对于自定义周期比对的周期边界限制，分别选定周期A与周期B</w:t>
      </w:r>
    </w:p>
    <w:p w14:paraId="325003D1">
      <w:pPr>
        <w:numPr>
          <w:ilvl w:val="2"/>
          <w:numId w:val="10"/>
        </w:numPr>
        <w:ind w:left="126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A周期与B周期可存在时间交集（例如周期A：2025-1-15至2025-1-20与周期B：2025-1-17至2025-1-31存在时间交集）</w:t>
      </w:r>
    </w:p>
    <w:p w14:paraId="3FBF13D7">
      <w:pPr>
        <w:numPr>
          <w:ilvl w:val="0"/>
          <w:numId w:val="9"/>
        </w:numPr>
        <w:ind w:left="42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映射表更新规则：</w:t>
      </w:r>
    </w:p>
    <w:p w14:paraId="03C12A98">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对于映射表文件上传，每次上传采用全量覆盖更新机制。</w:t>
      </w:r>
    </w:p>
    <w:p w14:paraId="345387C7">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对于单条目客户类映射关系新增、删除、修改,仅对当前操作的条目进行数据变更。</w:t>
      </w:r>
    </w:p>
    <w:p w14:paraId="12C06AD1">
      <w:pPr>
        <w:numPr>
          <w:ilvl w:val="0"/>
          <w:numId w:val="9"/>
        </w:numPr>
        <w:ind w:left="42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数据同步频率：</w:t>
      </w:r>
    </w:p>
    <w:p w14:paraId="1F72CF7D">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每日晚10点执行增量同步，数据处理延迟容忍：半小时内完成同步、业务人员-客户号数据关联处理。完成同步后记录同步日志。</w:t>
      </w:r>
    </w:p>
    <w:p w14:paraId="209B54E8">
      <w:pPr>
        <w:numPr>
          <w:ilvl w:val="0"/>
          <w:numId w:val="2"/>
        </w:numPr>
        <w:ind w:left="425" w:leftChars="0" w:hanging="425" w:firstLineChars="0"/>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验收标准</w:t>
      </w:r>
    </w:p>
    <w:p w14:paraId="254336F7">
      <w:pPr>
        <w:numPr>
          <w:ilvl w:val="0"/>
          <w:numId w:val="9"/>
        </w:numPr>
        <w:ind w:left="42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功能验收标准</w:t>
      </w:r>
    </w:p>
    <w:p w14:paraId="422EF198">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AC1:具有客户类关系维护权限相关人员在业务人员客户类关系维护页面上上传包含级别代码、级别名称、子类代码、子类名称、备注等字段的正确格式的业务人员客户类关系映射表（xlsx格式），系统成功解析并存储。</w:t>
      </w:r>
    </w:p>
    <w:p w14:paraId="7D038CB2">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AC2:具有客户类关系维护权限相关人员在业务人员客户类关系维护页面上可查看表格形式呈现的客户类与业务人员的关系映射表，可新增/删除映射关系、可对单条目映射关系执行相关信息（例如客户类备注、客户类所属业务人员等信息的修改），且增、删、改操作实时生效。</w:t>
      </w:r>
    </w:p>
    <w:p w14:paraId="3A72B8C7">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AC3:选择任一快捷区间或通过时间选择器选择任一时间区间，前端展示所有业务人员在该区间内的新增客户/总客户数、交易日日均权益、期初/期末权益、入金、出金、净入金、手续费（汇总手续费）、留存手续费、总盈亏。</w:t>
      </w:r>
    </w:p>
    <w:p w14:paraId="40DC8093">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AC4:在查看周期业务数据差异时，选择所要查看的业务指标以及两个时间区间-周期A与B，前端展示所有业务人员分别在周期A与周期B的业务指标统计数据以及周期差异值。</w:t>
      </w:r>
    </w:p>
    <w:p w14:paraId="0EDA415B">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AC5:选择需导出的周期业务明细数据范围后，使用数据导出功能时，系统在10秒内生成并下载xlsx格式文件；文件包含查询结果中所有字段及对应数据，数据内容与前端展示数据完全一致，无缺失、重复或错漏；文件格式规范，支持主流办公软件正常打开。</w:t>
      </w:r>
    </w:p>
    <w:p w14:paraId="6AACD48F">
      <w:pPr>
        <w:numPr>
          <w:ilvl w:val="0"/>
          <w:numId w:val="0"/>
        </w:numPr>
        <w:rPr>
          <w:rFonts w:hint="default" w:ascii="仿宋" w:hAnsi="仿宋" w:eastAsia="仿宋" w:cs="仿宋"/>
          <w:sz w:val="21"/>
          <w:szCs w:val="21"/>
          <w:lang w:val="en-US" w:eastAsia="zh-CN"/>
        </w:rPr>
      </w:pPr>
    </w:p>
    <w:p w14:paraId="21A1C348">
      <w:pPr>
        <w:numPr>
          <w:ilvl w:val="0"/>
          <w:numId w:val="9"/>
        </w:numPr>
        <w:ind w:left="42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性能验收标准</w:t>
      </w:r>
    </w:p>
    <w:p w14:paraId="4532EBA0">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AC5:查询近一年数据，95%的请求(100并发)响应时间≤10s。</w:t>
      </w:r>
    </w:p>
    <w:p w14:paraId="2E229E89">
      <w:pPr>
        <w:numPr>
          <w:ilvl w:val="0"/>
          <w:numId w:val="9"/>
        </w:numPr>
        <w:ind w:left="42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安全验收标准</w:t>
      </w:r>
    </w:p>
    <w:p w14:paraId="5D6A430A">
      <w:pPr>
        <w:numPr>
          <w:ilvl w:val="1"/>
          <w:numId w:val="10"/>
        </w:numPr>
        <w:ind w:left="84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AC6:不同角色用户登录系统后仅能访问其权限范围内的功能（如仅具有客户类关系维护权限的相关人员无法查看业务数据；业务主管若无客户类关系维护权限，其无法上传映射表等等），系统应阻止越权操作。</w:t>
      </w:r>
    </w:p>
    <w:p w14:paraId="5D6C3E3C">
      <w:pPr>
        <w:numPr>
          <w:ilvl w:val="0"/>
          <w:numId w:val="9"/>
        </w:numPr>
        <w:ind w:left="42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数据验收标准</w:t>
      </w:r>
    </w:p>
    <w:p w14:paraId="60806844">
      <w:pPr>
        <w:numPr>
          <w:ilvl w:val="1"/>
          <w:numId w:val="10"/>
        </w:numPr>
        <w:ind w:left="840" w:leftChars="0" w:hanging="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AC7:系统自动执行全量同步以及每日增量同步后，数据源（柜台数据库）与目标源（项目库）的客户类、客户号、属性代码、权益、手续费等核心字段数据，数据内容/数据总量无差异；同步完成后系统记录执行情况，将同步执行时间、同步后数据源/目标源数据总量、增量同步数据量、及是否存在异常等等。每日增量同步任务每日在指定时间自动执行，且连续两周执行稳定无中断，数据一致性校验结果均为 “一致”，无数据丢失或错同步情况。</w:t>
      </w:r>
    </w:p>
    <w:p w14:paraId="2276354D">
      <w:pPr>
        <w:numPr>
          <w:ilvl w:val="0"/>
          <w:numId w:val="9"/>
        </w:numPr>
        <w:ind w:left="420" w:leftChars="0" w:hanging="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AC8:周期业务数据查询验收：查询任意时间区间（如近 1 月、自定义季度）的业务数据（含新增客户数、日均权益、手续费等指标），将查询结果与柜台业务数据进行比对，核心指标（日均权益、手续费、净入金）数据误差率≤1%，非核心指标（新增客户数、总客户数）数据误差率≤0.5%，且无关键数据缺失或错算情况。</w:t>
      </w:r>
    </w:p>
    <w:p w14:paraId="49BD8201">
      <w:pPr>
        <w:widowControl w:val="0"/>
        <w:numPr>
          <w:ilvl w:val="0"/>
          <w:numId w:val="0"/>
        </w:numPr>
        <w:jc w:val="both"/>
        <w:rPr>
          <w:rFonts w:hint="eastAsia" w:ascii="仿宋" w:hAnsi="仿宋" w:eastAsia="仿宋" w:cs="仿宋"/>
          <w:sz w:val="21"/>
          <w:szCs w:val="21"/>
          <w:lang w:val="en-US" w:eastAsia="zh-CN"/>
        </w:rPr>
      </w:pPr>
    </w:p>
    <w:p w14:paraId="50AAF5DB">
      <w:pPr>
        <w:widowControl w:val="0"/>
        <w:numPr>
          <w:ilvl w:val="0"/>
          <w:numId w:val="0"/>
        </w:numPr>
        <w:jc w:val="both"/>
        <w:rPr>
          <w:rFonts w:hint="eastAsia" w:ascii="仿宋" w:hAnsi="仿宋" w:eastAsia="仿宋" w:cs="仿宋"/>
          <w:sz w:val="21"/>
          <w:szCs w:val="21"/>
          <w:lang w:val="en-US" w:eastAsia="zh-CN"/>
        </w:rPr>
      </w:pPr>
    </w:p>
    <w:p w14:paraId="59607DC2">
      <w:pPr>
        <w:widowControl w:val="0"/>
        <w:numPr>
          <w:ilvl w:val="0"/>
          <w:numId w:val="0"/>
        </w:numPr>
        <w:jc w:val="both"/>
        <w:rPr>
          <w:rFonts w:hint="default" w:ascii="仿宋" w:hAnsi="仿宋" w:eastAsia="仿宋" w:cs="仿宋"/>
          <w:sz w:val="21"/>
          <w:szCs w:val="21"/>
          <w:lang w:val="en-US" w:eastAsia="zh-CN"/>
        </w:rPr>
      </w:pPr>
    </w:p>
    <w:p w14:paraId="08D5E8AB">
      <w:pPr>
        <w:numPr>
          <w:ilvl w:val="0"/>
          <w:numId w:val="0"/>
        </w:numPr>
        <w:ind w:left="420" w:leftChars="0"/>
        <w:rPr>
          <w:rFonts w:hint="default" w:ascii="仿宋" w:hAnsi="仿宋" w:eastAsia="仿宋" w:cs="仿宋"/>
          <w:color w:val="0000FF"/>
          <w:sz w:val="18"/>
          <w:szCs w:val="18"/>
          <w:lang w:val="en-US" w:eastAsia="zh-CN"/>
        </w:rPr>
      </w:pPr>
      <w:r>
        <w:rPr>
          <w:rFonts w:hint="eastAsia" w:ascii="仿宋" w:hAnsi="仿宋" w:eastAsia="仿宋" w:cs="仿宋"/>
          <w:color w:val="0000FF"/>
          <w:sz w:val="18"/>
          <w:szCs w:val="18"/>
          <w:lang w:val="en-US" w:eastAsia="zh-CN"/>
        </w:rPr>
        <w:t>注：本需求分析文档中所提及的 “柜台业务数据”，具体指人工从金仕达综合管理平台数据中心导出结算数据（含客户数据、资金对账数据等）后，手动对业务人员的各项业务指标（新增客户数、总客户数、交易日日均权益等），按其下属客户的相关数据（开户日期、期初 / 期末权益、入金、出金等）进行全量聚合计算后得到的结果数据。</w:t>
      </w:r>
    </w:p>
    <w:p w14:paraId="6B57972B">
      <w:pPr>
        <w:numPr>
          <w:ilvl w:val="0"/>
          <w:numId w:val="0"/>
        </w:numPr>
        <w:rPr>
          <w:rFonts w:hint="default" w:ascii="仿宋" w:hAnsi="仿宋" w:eastAsia="仿宋" w:cs="仿宋"/>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陆佩荧" w:date="2025-10-13T16:11:12Z" w:initials="">
    <w:p w14:paraId="4C7FFE3F">
      <w:pPr>
        <w:pStyle w:val="2"/>
        <w:rPr>
          <w:rFonts w:hint="default" w:eastAsiaTheme="minorEastAsia"/>
          <w:lang w:val="en-US" w:eastAsia="zh-CN"/>
        </w:rPr>
      </w:pPr>
      <w:r>
        <w:rPr>
          <w:rFonts w:hint="eastAsia"/>
          <w:lang w:val="en-US" w:eastAsia="zh-CN"/>
        </w:rPr>
        <w:t>P2开发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7FFE3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1983B"/>
    <w:multiLevelType w:val="multilevel"/>
    <w:tmpl w:val="8DC1983B"/>
    <w:lvl w:ilvl="0" w:tentative="0">
      <w:start w:val="1"/>
      <w:numFmt w:val="bullet"/>
      <w:lvlText w:val=""/>
      <w:lvlJc w:val="left"/>
      <w:pPr>
        <w:ind w:left="420" w:hanging="420"/>
      </w:pPr>
      <w:rPr>
        <w:rFonts w:hint="default" w:ascii="Wingdings" w:hAnsi="Wingdings"/>
      </w:rPr>
    </w:lvl>
    <w:lvl w:ilvl="1" w:tentative="0">
      <w:start w:val="1"/>
      <w:numFmt w:val="bullet"/>
      <w:suff w:val="space"/>
      <w:lvlText w:val=""/>
      <w:lvlJc w:val="left"/>
      <w:pPr>
        <w:ind w:left="840" w:leftChars="0" w:hanging="420" w:firstLineChars="0"/>
      </w:pPr>
      <w:rPr>
        <w:rFonts w:hint="default" w:ascii="Wingdings" w:hAnsi="Wingdings"/>
      </w:rPr>
    </w:lvl>
    <w:lvl w:ilvl="2" w:tentative="0">
      <w:start w:val="1"/>
      <w:numFmt w:val="bullet"/>
      <w:suff w:val="space"/>
      <w:lvlText w:val=""/>
      <w:lvlJc w:val="left"/>
      <w:pPr>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91B671EE"/>
    <w:multiLevelType w:val="multilevel"/>
    <w:tmpl w:val="91B671EE"/>
    <w:lvl w:ilvl="0" w:tentative="0">
      <w:start w:val="1"/>
      <w:numFmt w:val="decimal"/>
      <w:suff w:val="space"/>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9EADB3B9"/>
    <w:multiLevelType w:val="singleLevel"/>
    <w:tmpl w:val="9EADB3B9"/>
    <w:lvl w:ilvl="0" w:tentative="0">
      <w:start w:val="1"/>
      <w:numFmt w:val="bullet"/>
      <w:suff w:val="space"/>
      <w:lvlText w:val=""/>
      <w:lvlJc w:val="left"/>
      <w:pPr>
        <w:ind w:left="420" w:hanging="420"/>
      </w:pPr>
      <w:rPr>
        <w:rFonts w:hint="default" w:ascii="Wingdings" w:hAnsi="Wingdings"/>
      </w:rPr>
    </w:lvl>
  </w:abstractNum>
  <w:abstractNum w:abstractNumId="3">
    <w:nsid w:val="AF1469F0"/>
    <w:multiLevelType w:val="multilevel"/>
    <w:tmpl w:val="AF1469F0"/>
    <w:lvl w:ilvl="0" w:tentative="0">
      <w:start w:val="1"/>
      <w:numFmt w:val="bullet"/>
      <w:suff w:val="space"/>
      <w:lvlText w:val=""/>
      <w:lvlJc w:val="left"/>
      <w:pPr>
        <w:ind w:left="420" w:hanging="420"/>
      </w:pPr>
      <w:rPr>
        <w:rFonts w:hint="default" w:ascii="Wingdings" w:hAnsi="Wingdings"/>
      </w:rPr>
    </w:lvl>
    <w:lvl w:ilvl="1" w:tentative="0">
      <w:start w:val="1"/>
      <w:numFmt w:val="bullet"/>
      <w:suff w:val="space"/>
      <w:lvlText w:val=""/>
      <w:lvlJc w:val="left"/>
      <w:pPr>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B91702EF"/>
    <w:multiLevelType w:val="singleLevel"/>
    <w:tmpl w:val="B91702EF"/>
    <w:lvl w:ilvl="0" w:tentative="0">
      <w:start w:val="1"/>
      <w:numFmt w:val="bullet"/>
      <w:suff w:val="space"/>
      <w:lvlText w:val=""/>
      <w:lvlJc w:val="left"/>
      <w:pPr>
        <w:ind w:left="420" w:hanging="420"/>
      </w:pPr>
      <w:rPr>
        <w:rFonts w:hint="default" w:ascii="Wingdings" w:hAnsi="Wingdings"/>
      </w:rPr>
    </w:lvl>
  </w:abstractNum>
  <w:abstractNum w:abstractNumId="5">
    <w:nsid w:val="C7A3EB65"/>
    <w:multiLevelType w:val="singleLevel"/>
    <w:tmpl w:val="C7A3EB65"/>
    <w:lvl w:ilvl="0" w:tentative="0">
      <w:start w:val="1"/>
      <w:numFmt w:val="bullet"/>
      <w:suff w:val="space"/>
      <w:lvlText w:val=""/>
      <w:lvlJc w:val="left"/>
      <w:pPr>
        <w:ind w:left="420" w:hanging="420"/>
      </w:pPr>
      <w:rPr>
        <w:rFonts w:hint="default" w:ascii="Wingdings" w:hAnsi="Wingdings"/>
      </w:rPr>
    </w:lvl>
  </w:abstractNum>
  <w:abstractNum w:abstractNumId="6">
    <w:nsid w:val="E20D3A9B"/>
    <w:multiLevelType w:val="multilevel"/>
    <w:tmpl w:val="E20D3A9B"/>
    <w:lvl w:ilvl="0" w:tentative="0">
      <w:start w:val="1"/>
      <w:numFmt w:val="bullet"/>
      <w:suff w:val="space"/>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41AF21E"/>
    <w:multiLevelType w:val="singleLevel"/>
    <w:tmpl w:val="441AF21E"/>
    <w:lvl w:ilvl="0" w:tentative="0">
      <w:start w:val="1"/>
      <w:numFmt w:val="bullet"/>
      <w:suff w:val="space"/>
      <w:lvlText w:val=""/>
      <w:lvlJc w:val="left"/>
      <w:pPr>
        <w:ind w:left="420" w:hanging="420"/>
      </w:pPr>
      <w:rPr>
        <w:rFonts w:hint="default" w:ascii="Wingdings" w:hAnsi="Wingdings"/>
      </w:rPr>
    </w:lvl>
  </w:abstractNum>
  <w:abstractNum w:abstractNumId="9">
    <w:nsid w:val="5CCF5233"/>
    <w:multiLevelType w:val="singleLevel"/>
    <w:tmpl w:val="5CCF5233"/>
    <w:lvl w:ilvl="0" w:tentative="0">
      <w:start w:val="1"/>
      <w:numFmt w:val="bullet"/>
      <w:suff w:val="space"/>
      <w:lvlText w:val=""/>
      <w:lvlJc w:val="left"/>
      <w:pPr>
        <w:ind w:left="420" w:hanging="420"/>
      </w:pPr>
      <w:rPr>
        <w:rFonts w:hint="default" w:ascii="Wingdings" w:hAnsi="Wingdings"/>
      </w:rPr>
    </w:lvl>
  </w:abstractNum>
  <w:abstractNum w:abstractNumId="10">
    <w:nsid w:val="6B8002AF"/>
    <w:multiLevelType w:val="singleLevel"/>
    <w:tmpl w:val="6B8002AF"/>
    <w:lvl w:ilvl="0" w:tentative="0">
      <w:start w:val="1"/>
      <w:numFmt w:val="bullet"/>
      <w:lvlText w:val=""/>
      <w:lvlJc w:val="left"/>
      <w:pPr>
        <w:ind w:left="420" w:hanging="420"/>
      </w:pPr>
      <w:rPr>
        <w:rFonts w:hint="default" w:ascii="Wingdings" w:hAnsi="Wingdings"/>
      </w:rPr>
    </w:lvl>
  </w:abstractNum>
  <w:num w:numId="1">
    <w:abstractNumId w:val="7"/>
  </w:num>
  <w:num w:numId="2">
    <w:abstractNumId w:val="1"/>
  </w:num>
  <w:num w:numId="3">
    <w:abstractNumId w:val="5"/>
  </w:num>
  <w:num w:numId="4">
    <w:abstractNumId w:val="6"/>
  </w:num>
  <w:num w:numId="5">
    <w:abstractNumId w:val="2"/>
  </w:num>
  <w:num w:numId="6">
    <w:abstractNumId w:val="8"/>
  </w:num>
  <w:num w:numId="7">
    <w:abstractNumId w:val="4"/>
  </w:num>
  <w:num w:numId="8">
    <w:abstractNumId w:val="9"/>
  </w:num>
  <w:num w:numId="9">
    <w:abstractNumId w:val="3"/>
  </w:num>
  <w:num w:numId="10">
    <w:abstractNumId w:val="0"/>
  </w:num>
  <w:num w:numId="11">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陆佩荧">
    <w15:presenceInfo w15:providerId="WPS Office" w15:userId="2121748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7489E"/>
    <w:rsid w:val="0C4D7C21"/>
    <w:rsid w:val="185145F5"/>
    <w:rsid w:val="1D256B0C"/>
    <w:rsid w:val="1DA022A7"/>
    <w:rsid w:val="251D242F"/>
    <w:rsid w:val="25401C79"/>
    <w:rsid w:val="287953B0"/>
    <w:rsid w:val="28EC01F3"/>
    <w:rsid w:val="2B1D77F1"/>
    <w:rsid w:val="2BC3335D"/>
    <w:rsid w:val="31114FB3"/>
    <w:rsid w:val="33460DA3"/>
    <w:rsid w:val="33A1422B"/>
    <w:rsid w:val="397868A5"/>
    <w:rsid w:val="39D75456"/>
    <w:rsid w:val="3E18275C"/>
    <w:rsid w:val="47AB428C"/>
    <w:rsid w:val="532F4F57"/>
    <w:rsid w:val="55AF2380"/>
    <w:rsid w:val="58466FCB"/>
    <w:rsid w:val="59D81EA5"/>
    <w:rsid w:val="5A203EB5"/>
    <w:rsid w:val="5EA06D09"/>
    <w:rsid w:val="5F742670"/>
    <w:rsid w:val="627C0C0F"/>
    <w:rsid w:val="651F307E"/>
    <w:rsid w:val="656071F2"/>
    <w:rsid w:val="69D32689"/>
    <w:rsid w:val="6A633A0D"/>
    <w:rsid w:val="71995F66"/>
    <w:rsid w:val="72BB015E"/>
    <w:rsid w:val="72EC6569"/>
    <w:rsid w:val="7B095F0A"/>
    <w:rsid w:val="7E590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table" w:styleId="4">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5202</Words>
  <Characters>5464</Characters>
  <Lines>0</Lines>
  <Paragraphs>0</Paragraphs>
  <TotalTime>5</TotalTime>
  <ScaleCrop>false</ScaleCrop>
  <LinksUpToDate>false</LinksUpToDate>
  <CharactersWithSpaces>5478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2025-07-07T08:21:00Z</dcterms:created>
  <dc:creator>thqh</dc:creator>
  <cp:lastModifiedBy>陆佩荧</cp:lastModifiedBy>
  <dcterms:modified xsi:type="dcterms:W3CDTF">2025-10-13T08:49:32Z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eyJoZGlkIjoiZWUzNDBmYjAwMjk3ZWUwZGFjOTI1ZGE2ODgyM2VmODQiLCJ1c2VySWQiOiIxMTMxMjg3NDYyIn0=</vt:lpwstr>
  </property>
  <property fmtid="{D5CDD505-2E9C-101B-9397-08002B2CF9AE}" pid="4" name="ICV">
    <vt:lpwstr>98E26666855A405890D5C5AEE8DEDE84_13</vt:lpwstr>
  </property>
</Properties>
</file>