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376CF">
      <w:pPr>
        <w:jc w:val="center"/>
        <w:rPr>
          <w:rFonts w:hint="eastAsia" w:ascii="宋体" w:hAnsi="宋体" w:eastAsia="宋体"/>
          <w:b/>
          <w:bCs/>
          <w:sz w:val="32"/>
          <w:szCs w:val="36"/>
          <w:lang w:val="en-US" w:eastAsia="zh-CN"/>
        </w:rPr>
      </w:pPr>
      <w:r>
        <w:rPr>
          <w:rFonts w:hint="eastAsia" w:ascii="宋体" w:hAnsi="宋体" w:eastAsia="宋体"/>
          <w:b/>
          <w:bCs/>
          <w:sz w:val="32"/>
          <w:szCs w:val="36"/>
          <w:lang w:val="en-US" w:eastAsia="zh-CN"/>
        </w:rPr>
        <w:t>客户</w:t>
      </w:r>
      <w:r>
        <w:rPr>
          <w:rFonts w:hint="eastAsia" w:ascii="宋体" w:hAnsi="宋体" w:eastAsia="宋体"/>
          <w:b/>
          <w:bCs/>
          <w:sz w:val="32"/>
          <w:szCs w:val="36"/>
        </w:rPr>
        <w:t>账户分析</w:t>
      </w:r>
      <w:r>
        <w:rPr>
          <w:rFonts w:hint="eastAsia" w:ascii="宋体" w:hAnsi="宋体" w:eastAsia="宋体"/>
          <w:b/>
          <w:bCs/>
          <w:sz w:val="32"/>
          <w:szCs w:val="36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 w:val="32"/>
          <w:szCs w:val="36"/>
        </w:rPr>
        <w:t>需求</w:t>
      </w:r>
      <w:r>
        <w:rPr>
          <w:rFonts w:hint="eastAsia" w:ascii="宋体" w:hAnsi="宋体" w:eastAsia="宋体"/>
          <w:b/>
          <w:bCs/>
          <w:sz w:val="32"/>
          <w:szCs w:val="36"/>
          <w:lang w:val="en-US" w:eastAsia="zh-CN"/>
        </w:rPr>
        <w:t>分析</w:t>
      </w:r>
    </w:p>
    <w:p w14:paraId="20E85AF2">
      <w:pPr>
        <w:pStyle w:val="2"/>
        <w:numPr>
          <w:ilvl w:val="0"/>
          <w:numId w:val="1"/>
        </w:numPr>
        <w:tabs>
          <w:tab w:val="left" w:pos="312"/>
        </w:tabs>
        <w:spacing w:before="120" w:after="120" w:line="360" w:lineRule="auto"/>
        <w:ind w:left="420" w:hanging="42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概述</w:t>
      </w:r>
    </w:p>
    <w:p w14:paraId="0CF5C1D2">
      <w:pPr>
        <w:pStyle w:val="22"/>
        <w:spacing w:line="360" w:lineRule="auto"/>
        <w:ind w:firstLine="4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从期货公司的交易处理系统提取源数据，加工分析指标，生成</w:t>
      </w:r>
      <w:r>
        <w:rPr>
          <w:rFonts w:hint="eastAsia" w:ascii="宋体" w:hAnsi="宋体" w:eastAsia="宋体"/>
          <w:sz w:val="24"/>
          <w:lang w:val="en-US" w:eastAsia="zh-CN"/>
        </w:rPr>
        <w:t>移动</w:t>
      </w:r>
      <w:r>
        <w:rPr>
          <w:rFonts w:hint="eastAsia" w:ascii="宋体" w:hAnsi="宋体" w:eastAsia="宋体"/>
          <w:sz w:val="24"/>
        </w:rPr>
        <w:t>端的客户账户分析报表。通过账户分析报表，</w:t>
      </w:r>
      <w:r>
        <w:rPr>
          <w:rFonts w:hint="eastAsia" w:ascii="宋体" w:hAnsi="宋体" w:eastAsia="宋体"/>
          <w:sz w:val="24"/>
          <w:lang w:val="en-US" w:eastAsia="zh-CN"/>
        </w:rPr>
        <w:t>为</w:t>
      </w:r>
      <w:r>
        <w:rPr>
          <w:rFonts w:hint="eastAsia" w:ascii="宋体" w:hAnsi="宋体" w:eastAsia="宋体"/>
          <w:sz w:val="24"/>
        </w:rPr>
        <w:t>期货公司</w:t>
      </w:r>
      <w:r>
        <w:rPr>
          <w:rFonts w:hint="eastAsia" w:ascii="宋体" w:hAnsi="宋体" w:eastAsia="宋体"/>
          <w:sz w:val="24"/>
          <w:lang w:val="en-US" w:eastAsia="zh-CN"/>
        </w:rPr>
        <w:t>客户提供</w:t>
      </w:r>
      <w:r>
        <w:rPr>
          <w:rFonts w:hint="eastAsia" w:ascii="宋体" w:hAnsi="宋体" w:eastAsia="宋体"/>
          <w:sz w:val="24"/>
        </w:rPr>
        <w:t>客户资金状况、客户交易情况及风险分析等</w:t>
      </w:r>
      <w:r>
        <w:rPr>
          <w:rFonts w:hint="eastAsia" w:ascii="宋体" w:hAnsi="宋体" w:eastAsia="宋体"/>
          <w:sz w:val="24"/>
          <w:lang w:val="en-US" w:eastAsia="zh-CN"/>
        </w:rPr>
        <w:t>数据</w:t>
      </w:r>
      <w:r>
        <w:rPr>
          <w:rFonts w:hint="eastAsia" w:ascii="宋体" w:hAnsi="宋体" w:eastAsia="宋体"/>
          <w:sz w:val="24"/>
        </w:rPr>
        <w:t>，便于</w:t>
      </w:r>
      <w:r>
        <w:rPr>
          <w:rFonts w:hint="eastAsia" w:ascii="宋体" w:hAnsi="宋体" w:eastAsia="宋体"/>
          <w:sz w:val="24"/>
          <w:lang w:val="en-US" w:eastAsia="zh-CN"/>
        </w:rPr>
        <w:t>客户便捷且</w:t>
      </w:r>
      <w:r>
        <w:rPr>
          <w:rFonts w:hint="eastAsia" w:ascii="宋体" w:hAnsi="宋体" w:eastAsia="宋体"/>
          <w:sz w:val="24"/>
        </w:rPr>
        <w:t>直观账户情况，更好做数据分析和风险识别。</w:t>
      </w:r>
    </w:p>
    <w:p w14:paraId="4B1948D7">
      <w:pPr>
        <w:pStyle w:val="22"/>
        <w:spacing w:line="360" w:lineRule="auto"/>
        <w:ind w:firstLine="4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当前报表通过PC端展示，相对不便捷，后续通过系统及自动化程序，实现</w:t>
      </w:r>
      <w:r>
        <w:rPr>
          <w:rFonts w:hint="eastAsia" w:ascii="宋体" w:hAnsi="宋体" w:eastAsia="宋体"/>
          <w:sz w:val="24"/>
          <w:lang w:val="en-US" w:eastAsia="zh-CN"/>
        </w:rPr>
        <w:t>移动</w:t>
      </w:r>
      <w:r>
        <w:rPr>
          <w:rFonts w:hint="eastAsia" w:ascii="宋体" w:hAnsi="宋体" w:eastAsia="宋体"/>
          <w:sz w:val="24"/>
        </w:rPr>
        <w:t>端的数据查看，并可根据不同场景扩大数据采集来源，增加分析主题，扩大数据应用范围。</w:t>
      </w:r>
    </w:p>
    <w:p w14:paraId="344E4D65">
      <w:pPr>
        <w:pStyle w:val="2"/>
        <w:numPr>
          <w:ilvl w:val="0"/>
          <w:numId w:val="1"/>
        </w:numPr>
        <w:tabs>
          <w:tab w:val="left" w:pos="312"/>
        </w:tabs>
        <w:spacing w:before="120" w:after="120" w:line="360" w:lineRule="auto"/>
        <w:ind w:left="420" w:hanging="420"/>
        <w:rPr>
          <w:rFonts w:hint="eastAsia" w:ascii="宋体" w:hAnsi="宋体" w:eastAsia="宋体"/>
          <w:sz w:val="28"/>
          <w:szCs w:val="48"/>
        </w:rPr>
      </w:pPr>
      <w:r>
        <w:rPr>
          <w:rFonts w:hint="eastAsia" w:ascii="宋体" w:hAnsi="宋体" w:eastAsia="宋体"/>
          <w:sz w:val="28"/>
          <w:szCs w:val="48"/>
        </w:rPr>
        <w:t>数据源管理</w:t>
      </w:r>
    </w:p>
    <w:p w14:paraId="6CB9C125">
      <w:pPr>
        <w:pStyle w:val="3"/>
        <w:rPr>
          <w:rFonts w:hint="eastAsia" w:asciiTheme="majorEastAsia" w:hAnsiTheme="majorEastAsia"/>
          <w:sz w:val="24"/>
          <w:szCs w:val="24"/>
        </w:rPr>
      </w:pPr>
      <w:r>
        <w:rPr>
          <w:rFonts w:hint="eastAsia" w:asciiTheme="majorEastAsia" w:hAnsiTheme="majorEastAsia"/>
          <w:sz w:val="24"/>
          <w:szCs w:val="24"/>
        </w:rPr>
        <w:t>2.1资金状况明细表</w:t>
      </w:r>
    </w:p>
    <w:tbl>
      <w:tblPr>
        <w:tblStyle w:val="14"/>
        <w:tblW w:w="9640" w:type="dxa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1147"/>
        <w:gridCol w:w="7738"/>
      </w:tblGrid>
      <w:tr w14:paraId="4682D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9D9" w:themeFill="accent6" w:themeFillTint="33"/>
            <w:vAlign w:val="center"/>
          </w:tcPr>
          <w:p w14:paraId="0A3A935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序号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9D9" w:themeFill="accent6" w:themeFillTint="33"/>
            <w:noWrap/>
            <w:vAlign w:val="center"/>
          </w:tcPr>
          <w:p w14:paraId="4DE2305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指标名称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9D9" w:themeFill="accent6" w:themeFillTint="33"/>
            <w:vAlign w:val="center"/>
          </w:tcPr>
          <w:p w14:paraId="796583E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取值逻辑</w:t>
            </w:r>
          </w:p>
        </w:tc>
      </w:tr>
      <w:tr w14:paraId="4ECE0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F770B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1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B2CBD8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期初权益（元）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B69C1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取日期筛选区间第一个交易日的字段值</w:t>
            </w:r>
          </w:p>
          <w:p w14:paraId="48430971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cf_sett.t_client_sett表中的 YES_RIGHTS字段</w:t>
            </w:r>
          </w:p>
        </w:tc>
      </w:tr>
      <w:tr w14:paraId="4DEC9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3824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2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7F2671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期末权益（元）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E7D4F8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取日期筛选区间最后一个交易日的字段值</w:t>
            </w:r>
          </w:p>
          <w:p w14:paraId="38F29937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cf_sett.t_client_sett表中的 RIGHTS字段</w:t>
            </w:r>
          </w:p>
        </w:tc>
      </w:tr>
      <w:tr w14:paraId="35114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2780F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3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562C81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市值权益（元）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FFE8E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取日期筛选区间最后一个交易日的字段值</w:t>
            </w:r>
          </w:p>
          <w:p w14:paraId="6CF60456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cf_sett.t_client_sett表中的</w:t>
            </w:r>
            <w:r>
              <w:rPr>
                <w:rFonts w:hint="eastAsia" w:ascii="宋体" w:hAnsi="宋体" w:eastAsia="宋体"/>
                <w:color w:val="000000"/>
                <w:szCs w:val="21"/>
                <w:highlight w:val="white"/>
              </w:rPr>
              <w:t>MARKET_DEPOSIT字段</w:t>
            </w:r>
          </w:p>
        </w:tc>
      </w:tr>
      <w:tr w14:paraId="15000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BD59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4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CCF703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期权品种总盈亏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D4B45E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取日期筛选区间的字段汇总值</w:t>
            </w:r>
          </w:p>
          <w:p w14:paraId="182D180B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cf_sett.t_close_detail表中根据买卖方向 [买:(平仓-开仓)*合约乘数*数量,卖:(开仓-平仓)*合约乘数*数量]</w:t>
            </w:r>
          </w:p>
        </w:tc>
      </w:tr>
      <w:tr w14:paraId="3FB59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82D9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0AC02A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期货品种总盈亏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FAD842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取筛选期间内的字段汇总值</w:t>
            </w:r>
          </w:p>
          <w:p w14:paraId="447B0D2F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cf_sett.t_hold_balance表中TODAY_PROFIT字段加总</w:t>
            </w:r>
          </w:p>
        </w:tc>
      </w:tr>
      <w:tr w14:paraId="61E4B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C3E0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5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13D686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手续费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9D2DA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取日期筛选区间的字段汇总值</w:t>
            </w:r>
          </w:p>
          <w:p w14:paraId="6719BFEC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cf_sett.t_client_sett表中的TRANSFEE字段加总</w:t>
            </w:r>
          </w:p>
        </w:tc>
      </w:tr>
      <w:tr w14:paraId="1DE90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7B488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6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9B460E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交割手续费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5A58E5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取日期筛选区间的字段汇总值</w:t>
            </w:r>
          </w:p>
          <w:p w14:paraId="69DB5216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cf_sett.t_client_sett表中的STRIKEFEE字段加总</w:t>
            </w:r>
          </w:p>
        </w:tc>
      </w:tr>
      <w:tr w14:paraId="136DE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C6743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7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64CC7B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执行手续费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6E5E4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取日期筛选区间的字段汇总值</w:t>
            </w:r>
          </w:p>
          <w:p w14:paraId="70053923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cf_sett.t_client_sett表中的DELIVERY_TRANSFEE字段加总</w:t>
            </w:r>
          </w:p>
        </w:tc>
      </w:tr>
      <w:tr w14:paraId="26DA6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2BF0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8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D85B9F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净入金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FCCE2">
            <w:pPr>
              <w:widowControl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取日期筛选区间的汇总值</w:t>
            </w:r>
          </w:p>
          <w:p w14:paraId="753FACF0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cf_sett.t_client_sett表中的FUND_IN-FUND_OUT字段加总</w:t>
            </w:r>
          </w:p>
        </w:tc>
      </w:tr>
      <w:tr w14:paraId="44F4E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26F7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9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0C4318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权利金收入（元）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9CE7C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取日期筛选区间的字段汇总值</w:t>
            </w:r>
          </w:p>
          <w:p w14:paraId="5576ADC3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cf_sett.t_client_sett表中的option_premium_in字段加总</w:t>
            </w:r>
          </w:p>
        </w:tc>
      </w:tr>
      <w:tr w14:paraId="6C337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1B74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10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FF6404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权利金支出（元）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26B78C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取日期筛选区间的字段汇总值</w:t>
            </w:r>
          </w:p>
          <w:p w14:paraId="1AACA49A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cf_sett.t_client_sett表中的option_premium_out字段加总</w:t>
            </w:r>
          </w:p>
        </w:tc>
      </w:tr>
      <w:tr w14:paraId="56842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5416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11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9B7F26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成交量（手）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F1643">
            <w:pPr>
              <w:widowControl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取日期筛选区间的字段汇总值</w:t>
            </w:r>
          </w:p>
          <w:p w14:paraId="6769879B">
            <w:pPr>
              <w:widowControl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cf_sett.t_hold_balance表中的done_amt字段加总</w:t>
            </w:r>
          </w:p>
        </w:tc>
      </w:tr>
      <w:tr w14:paraId="78E0F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98AEC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12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759BA1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保证金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58B29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取日期筛选区间的各交易日的字段汇总值</w:t>
            </w:r>
          </w:p>
          <w:p w14:paraId="68E01DB8">
            <w:pPr>
              <w:widowControl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cf_sett.t_client_sett表中的margin字段加总</w:t>
            </w:r>
          </w:p>
        </w:tc>
      </w:tr>
    </w:tbl>
    <w:p w14:paraId="59CCC0DD">
      <w:pPr>
        <w:rPr>
          <w:rFonts w:hint="eastAsia" w:ascii="仿宋" w:hAnsi="仿宋" w:eastAsia="仿宋"/>
          <w:b/>
          <w:bCs/>
          <w:sz w:val="24"/>
          <w:szCs w:val="24"/>
        </w:rPr>
      </w:pPr>
    </w:p>
    <w:p w14:paraId="7BD524A2">
      <w:pPr>
        <w:pStyle w:val="3"/>
        <w:rPr>
          <w:rFonts w:hint="eastAsia" w:asciiTheme="majorEastAsia" w:hAnsiTheme="majorEastAsia"/>
          <w:sz w:val="24"/>
          <w:szCs w:val="24"/>
        </w:rPr>
      </w:pPr>
      <w:bookmarkStart w:id="0" w:name="_Toc174434780"/>
      <w:r>
        <w:rPr>
          <w:rFonts w:hint="eastAsia" w:asciiTheme="majorEastAsia" w:hAnsiTheme="majorEastAsia"/>
          <w:sz w:val="24"/>
          <w:szCs w:val="24"/>
        </w:rPr>
        <w:t>2.2交易品种明细表</w:t>
      </w:r>
    </w:p>
    <w:tbl>
      <w:tblPr>
        <w:tblStyle w:val="14"/>
        <w:tblW w:w="9640" w:type="dxa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1701"/>
        <w:gridCol w:w="7184"/>
      </w:tblGrid>
      <w:tr w14:paraId="12AC9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9D9" w:themeFill="accent6" w:themeFillTint="33"/>
            <w:vAlign w:val="center"/>
          </w:tcPr>
          <w:p w14:paraId="12B6A03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序号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9D9" w:themeFill="accent6" w:themeFillTint="33"/>
            <w:noWrap/>
            <w:vAlign w:val="center"/>
          </w:tcPr>
          <w:p w14:paraId="032D148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指标名称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9D9" w:themeFill="accent6" w:themeFillTint="33"/>
            <w:vAlign w:val="center"/>
          </w:tcPr>
          <w:p w14:paraId="737961D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取值逻辑</w:t>
            </w:r>
          </w:p>
        </w:tc>
      </w:tr>
      <w:tr w14:paraId="7EFDF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59EA4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1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7D7883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平均量（手）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AEACD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取筛选期间内的交易品种汇总值</w:t>
            </w:r>
          </w:p>
          <w:p w14:paraId="15552876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cf_sett.t_hold_balance表中close_amount_today字段加总</w:t>
            </w:r>
          </w:p>
        </w:tc>
      </w:tr>
      <w:tr w14:paraId="2C4AC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E4C4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402CCA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总成交量（手）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F0357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取筛选期间内的交易品种汇总值</w:t>
            </w:r>
          </w:p>
          <w:p w14:paraId="0A02E653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cf_sett.t_hold_balance表中done_amt字段加总</w:t>
            </w:r>
          </w:p>
        </w:tc>
      </w:tr>
      <w:tr w14:paraId="02115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88E0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ED162E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成交额（万元）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C7BD1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取筛选期间内的交易品种汇总值</w:t>
            </w:r>
          </w:p>
          <w:p w14:paraId="1B78BDAD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cf_sett.t_hold_balance表中done_sum字段加总</w:t>
            </w:r>
          </w:p>
        </w:tc>
      </w:tr>
      <w:tr w14:paraId="27208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9D85D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4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246113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持仓盈亏（元）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5A8746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取筛选期间内的交易品种汇总值</w:t>
            </w:r>
          </w:p>
          <w:p w14:paraId="5EACD2D1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cf_sett.t_hold_balance表中hold_profit_bydate字段加总</w:t>
            </w:r>
          </w:p>
        </w:tc>
      </w:tr>
      <w:tr w14:paraId="3432F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9191B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8F45EF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期货品种总盈亏（元）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9C547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取筛选期间内的汇总值</w:t>
            </w:r>
          </w:p>
          <w:p w14:paraId="5A7ACDB8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cf_sett.t_hold_balance表中TODAY_PROFIT字段加总</w:t>
            </w:r>
          </w:p>
        </w:tc>
      </w:tr>
      <w:tr w14:paraId="09E28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380E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6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A4F3A3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期权品种总盈亏（元）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4B276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取日期筛选区间的字段汇总值</w:t>
            </w:r>
          </w:p>
          <w:p w14:paraId="4C238643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cf_sett.t_close_detail表中根据买卖方向 [买:(平仓-开仓)*合约乘数*数量,卖:(开仓-平仓)*合约乘数*数量]</w:t>
            </w:r>
          </w:p>
        </w:tc>
      </w:tr>
      <w:tr w14:paraId="6AE5B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B4AF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7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488CCC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手续费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B0944C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取筛选期间内的交易品种汇总值</w:t>
            </w:r>
          </w:p>
          <w:p w14:paraId="2F4E537D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cf_sett.t_client_sett表中的TRANSFEE字段加总</w:t>
            </w:r>
          </w:p>
        </w:tc>
      </w:tr>
      <w:tr w14:paraId="79CEB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C7FA3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8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D6AD0E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交割手续费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A2927E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取筛选期间内的交易品种汇总值</w:t>
            </w:r>
          </w:p>
          <w:p w14:paraId="12B9B7D9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cf_sett.t_client_sett表中的STRIKEFEE字段加总</w:t>
            </w:r>
          </w:p>
        </w:tc>
      </w:tr>
      <w:tr w14:paraId="57C96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C1772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04E3A4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执行手续费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9E7AA9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取筛选期间内的交易品种汇总值</w:t>
            </w:r>
          </w:p>
          <w:p w14:paraId="2F9DE791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cf_sett.t_client_sett表中的DELIVERY_TRANSFEE字段加总</w:t>
            </w:r>
          </w:p>
        </w:tc>
      </w:tr>
      <w:tr w14:paraId="3E2BD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1932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10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E7085F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移仓手续费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E66AD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取筛选期间内的交易品种汇总值</w:t>
            </w:r>
          </w:p>
          <w:p w14:paraId="0E39101D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cf_sett.t_hold_balance表中HOLDMOVEFEE字段加总</w:t>
            </w:r>
          </w:p>
        </w:tc>
      </w:tr>
      <w:tr w14:paraId="0A04F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FAE7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11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F46709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结算手续费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DF4512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取筛选期间内的交易品种汇总值</w:t>
            </w:r>
          </w:p>
          <w:p w14:paraId="7621CEBC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cf_sett.t_hold_balance表中</w:t>
            </w:r>
            <w:r>
              <w:rPr>
                <w:rFonts w:hint="eastAsia"/>
              </w:rPr>
              <w:t>SETTFEE字段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总加</w:t>
            </w:r>
          </w:p>
        </w:tc>
      </w:tr>
      <w:tr w14:paraId="168C6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A96C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12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26B938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行权手续费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92575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取筛选期间内的交易品种汇总值</w:t>
            </w:r>
          </w:p>
          <w:p w14:paraId="5B9C4EEB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cf_sett.t_execute_result表中的STRIKEFEE字段总加</w:t>
            </w:r>
          </w:p>
        </w:tc>
      </w:tr>
    </w:tbl>
    <w:p w14:paraId="1BEF1788"/>
    <w:p w14:paraId="420BA7D5">
      <w:pPr>
        <w:pStyle w:val="3"/>
        <w:rPr>
          <w:rFonts w:hint="eastAsia" w:asciiTheme="majorEastAsia" w:hAnsiTheme="majorEastAsia"/>
          <w:sz w:val="24"/>
          <w:szCs w:val="24"/>
        </w:rPr>
      </w:pPr>
      <w:r>
        <w:rPr>
          <w:rFonts w:hint="eastAsia" w:asciiTheme="majorEastAsia" w:hAnsiTheme="majorEastAsia"/>
          <w:sz w:val="24"/>
          <w:szCs w:val="24"/>
        </w:rPr>
        <w:t>2.3风险分析表</w:t>
      </w:r>
    </w:p>
    <w:tbl>
      <w:tblPr>
        <w:tblStyle w:val="14"/>
        <w:tblW w:w="9640" w:type="dxa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1701"/>
        <w:gridCol w:w="7184"/>
      </w:tblGrid>
      <w:tr w14:paraId="26091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9D9" w:themeFill="accent6" w:themeFillTint="33"/>
            <w:vAlign w:val="center"/>
          </w:tcPr>
          <w:p w14:paraId="2EE5621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序号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9D9" w:themeFill="accent6" w:themeFillTint="33"/>
            <w:noWrap/>
            <w:vAlign w:val="center"/>
          </w:tcPr>
          <w:p w14:paraId="30F01EB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指标名称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9D9" w:themeFill="accent6" w:themeFillTint="33"/>
            <w:vAlign w:val="center"/>
          </w:tcPr>
          <w:p w14:paraId="06D7F61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取值逻辑</w:t>
            </w:r>
          </w:p>
        </w:tc>
      </w:tr>
      <w:tr w14:paraId="4ABC5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64CED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1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5EDB41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保证金（元）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E1059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取筛选期间内各交易日的字段值</w:t>
            </w:r>
          </w:p>
          <w:p w14:paraId="449607F7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cf_sett.t_client_sett中margin字段</w:t>
            </w:r>
          </w:p>
        </w:tc>
      </w:tr>
      <w:tr w14:paraId="65E6D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A300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82318C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期末权益（元）</w:t>
            </w:r>
          </w:p>
        </w:tc>
        <w:tc>
          <w:tcPr>
            <w:tcW w:w="7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4071F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取日期筛选区间内各交易日的字段值</w:t>
            </w:r>
          </w:p>
          <w:p w14:paraId="37CD9C02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cf_sett.t_client_sett表中的 RIGHTS字段</w:t>
            </w:r>
          </w:p>
        </w:tc>
      </w:tr>
    </w:tbl>
    <w:p w14:paraId="1CB03B84"/>
    <w:p w14:paraId="27048133">
      <w:pPr>
        <w:pStyle w:val="2"/>
        <w:numPr>
          <w:ilvl w:val="0"/>
          <w:numId w:val="1"/>
        </w:numPr>
        <w:tabs>
          <w:tab w:val="left" w:pos="312"/>
        </w:tabs>
        <w:spacing w:before="120" w:after="120" w:line="360" w:lineRule="auto"/>
        <w:ind w:left="420" w:hanging="420"/>
        <w:rPr>
          <w:rFonts w:hint="eastAsia" w:ascii="宋体" w:hAnsi="宋体" w:eastAsia="宋体"/>
          <w:sz w:val="28"/>
          <w:szCs w:val="48"/>
        </w:rPr>
      </w:pPr>
      <w:r>
        <w:rPr>
          <w:rFonts w:hint="eastAsia" w:ascii="宋体" w:hAnsi="宋体" w:eastAsia="宋体"/>
          <w:sz w:val="28"/>
          <w:szCs w:val="48"/>
        </w:rPr>
        <w:t>派生指标</w:t>
      </w:r>
    </w:p>
    <w:p w14:paraId="1D77B99B">
      <w:pPr>
        <w:pStyle w:val="3"/>
        <w:rPr>
          <w:rFonts w:hint="eastAsia" w:asciiTheme="majorEastAsia" w:hAnsiTheme="majorEastAsia"/>
          <w:sz w:val="24"/>
          <w:szCs w:val="24"/>
        </w:rPr>
      </w:pPr>
      <w:r>
        <w:rPr>
          <w:rFonts w:hint="eastAsia" w:asciiTheme="majorEastAsia" w:hAnsiTheme="majorEastAsia"/>
          <w:sz w:val="24"/>
          <w:szCs w:val="24"/>
        </w:rPr>
        <w:t>3.1资金状况查询</w:t>
      </w:r>
    </w:p>
    <w:p w14:paraId="38A5D5D3">
      <w:pPr>
        <w:pStyle w:val="22"/>
        <w:spacing w:line="360" w:lineRule="auto"/>
        <w:ind w:firstLine="0" w:firstLineChars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1、需求描述</w:t>
      </w:r>
    </w:p>
    <w:p w14:paraId="4D08DF09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支持用户选择</w:t>
      </w:r>
      <w:r>
        <w:rPr>
          <w:rFonts w:hint="eastAsia" w:asciiTheme="minorEastAsia" w:hAnsiTheme="minorEastAsia" w:cstheme="minorEastAsia"/>
          <w:color w:val="FF0000"/>
          <w:sz w:val="24"/>
        </w:rPr>
        <w:t>日期区间</w:t>
      </w:r>
      <w:r>
        <w:rPr>
          <w:rFonts w:hint="eastAsia" w:asciiTheme="minorEastAsia" w:hAnsiTheme="minorEastAsia" w:cstheme="minorEastAsia"/>
          <w:sz w:val="24"/>
        </w:rPr>
        <w:t>，查看该区间内的资金状况和对交易胜率、夏普比率的分析情况。</w:t>
      </w:r>
    </w:p>
    <w:p w14:paraId="68613EDF">
      <w:pPr>
        <w:widowControl/>
        <w:spacing w:line="360" w:lineRule="auto"/>
        <w:jc w:val="left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2、数据来源：资金状况明细表</w:t>
      </w:r>
    </w:p>
    <w:p w14:paraId="75B5F2B6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3、界面展示字段及计算逻辑：</w:t>
      </w:r>
    </w:p>
    <w:p w14:paraId="0F4F0811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（1）期初权益（元）=资金状况明细表的期初权益</w:t>
      </w:r>
    </w:p>
    <w:p w14:paraId="426CF7A9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（2）期末权益（元）=资金状况明细表的期末权益</w:t>
      </w:r>
    </w:p>
    <w:p w14:paraId="7A5149D6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（3）市值权益（元）=资金状况明细表的市值权益</w:t>
      </w:r>
    </w:p>
    <w:p w14:paraId="3C8F0B7E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（4）交易盈亏（元）=期权品种总盈亏+期货品种总盈亏</w:t>
      </w:r>
    </w:p>
    <w:p w14:paraId="0BAF8EFC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（5）手续费汇总（元）=手续费+交割手续费+执行手续费</w:t>
      </w:r>
    </w:p>
    <w:p w14:paraId="06189F04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（6）净利润（元）=交易盈亏-手续费汇总</w:t>
      </w:r>
    </w:p>
    <w:p w14:paraId="4F26392F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（7）净入金（元）=</w:t>
      </w:r>
    </w:p>
    <w:p w14:paraId="09FF274C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（8）权利金收入（元）=资金状况明细表的权利金收入</w:t>
      </w:r>
    </w:p>
    <w:p w14:paraId="0A978DB1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（9）权利金支出（元）=资金状况明细表的权利金支出</w:t>
      </w:r>
    </w:p>
    <w:p w14:paraId="2363C6CF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（10）盈利天数（天）=计算出筛选日期区间内每天（当日市值权益-上日市</w:t>
      </w:r>
    </w:p>
    <w:p w14:paraId="32E98EC7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     值权益-净入金）的值，取结果&gt;0的天数</w:t>
      </w:r>
    </w:p>
    <w:p w14:paraId="2740A64D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（11）亏损天数（天）=计算出筛选日期区间内每天（当日市值权益-上日市</w:t>
      </w:r>
    </w:p>
    <w:p w14:paraId="04CFC650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     值权益-净入金）的值，取结果&lt;0的天数</w:t>
      </w:r>
    </w:p>
    <w:p w14:paraId="0BC4E7FB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（12）交易胜率（%）=（盈利天数/交易天数）*100%（筛选区间总天数）</w:t>
      </w:r>
    </w:p>
    <w:p w14:paraId="2FA4164B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（13）成交量（手）=资金状况明细表的成交量</w:t>
      </w:r>
    </w:p>
    <w:p w14:paraId="04EF7F40">
      <w:pPr>
        <w:pStyle w:val="22"/>
        <w:adjustRightInd w:val="0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（14）累计净值=P1*P2*P3……*Pn，其中Pn为当日净值，Pn的计算分三种</w:t>
      </w:r>
    </w:p>
    <w:p w14:paraId="0202B175">
      <w:pPr>
        <w:spacing w:line="360" w:lineRule="auto"/>
        <w:ind w:left="708" w:leftChars="337" w:firstLine="420" w:firstLineChars="175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情况：</w:t>
      </w:r>
    </w:p>
    <w:p w14:paraId="1D6E256A">
      <w:pPr>
        <w:pStyle w:val="22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若（当日市值权益-上日市值权益-净入金）&gt;0，当日净值=(</w:t>
      </w:r>
      <w:r>
        <w:rPr>
          <w:rFonts w:asciiTheme="minorEastAsia" w:hAnsiTheme="minorEastAsia" w:cstheme="minorEastAsia"/>
          <w:sz w:val="24"/>
        </w:rPr>
        <w:t>当日</w:t>
      </w:r>
      <w:r>
        <w:rPr>
          <w:rFonts w:hint="eastAsia" w:asciiTheme="minorEastAsia" w:hAnsiTheme="minorEastAsia" w:cstheme="minorEastAsia"/>
          <w:sz w:val="24"/>
        </w:rPr>
        <w:t>市值权益+当日出金)/(上日市值权益+当日入金)</w:t>
      </w:r>
    </w:p>
    <w:p w14:paraId="3D4A7FD4">
      <w:pPr>
        <w:pStyle w:val="22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若（当日市值权益-上日市值权益-净入金）=0，当日净值=1。</w:t>
      </w:r>
    </w:p>
    <w:p w14:paraId="22CBFD26">
      <w:pPr>
        <w:pStyle w:val="22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若（当日市值权益-上日市值权益-净入金）&lt;0，</w:t>
      </w:r>
    </w:p>
    <w:p w14:paraId="680B017E">
      <w:pPr>
        <w:pStyle w:val="22"/>
        <w:spacing w:line="360" w:lineRule="auto"/>
        <w:ind w:left="1488" w:firstLine="0" w:firstLineChars="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当日净值=(当日市值权益-当日入金+当日出金)/(上日市值权益) 其中，若上日市值权益=0，</w:t>
      </w:r>
    </w:p>
    <w:p w14:paraId="703F9DCC">
      <w:pPr>
        <w:pStyle w:val="22"/>
        <w:spacing w:line="360" w:lineRule="auto"/>
        <w:ind w:left="1488" w:firstLine="0" w:firstLineChars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当日净值=(</w:t>
      </w:r>
      <w:r>
        <w:rPr>
          <w:rFonts w:asciiTheme="minorEastAsia" w:hAnsiTheme="minorEastAsia" w:cstheme="minorEastAsia"/>
          <w:sz w:val="24"/>
        </w:rPr>
        <w:t>当日</w:t>
      </w:r>
      <w:r>
        <w:rPr>
          <w:rFonts w:hint="eastAsia" w:asciiTheme="minorEastAsia" w:hAnsiTheme="minorEastAsia" w:cstheme="minorEastAsia"/>
          <w:sz w:val="24"/>
        </w:rPr>
        <w:t>市值权益+当日出金)/(上日市值权益+当日入金)若(当日市值权益-当日入金+当日出金)/(上日市值权益)&lt;0，</w:t>
      </w:r>
    </w:p>
    <w:p w14:paraId="5D3AD4DC">
      <w:pPr>
        <w:pStyle w:val="22"/>
        <w:spacing w:line="360" w:lineRule="auto"/>
        <w:ind w:left="1488" w:firstLine="0" w:firstLineChars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当日净值=(</w:t>
      </w:r>
      <w:r>
        <w:rPr>
          <w:rFonts w:asciiTheme="minorEastAsia" w:hAnsiTheme="minorEastAsia" w:cstheme="minorEastAsia"/>
          <w:sz w:val="24"/>
        </w:rPr>
        <w:t>当日</w:t>
      </w:r>
      <w:r>
        <w:rPr>
          <w:rFonts w:hint="eastAsia" w:asciiTheme="minorEastAsia" w:hAnsiTheme="minorEastAsia" w:cstheme="minorEastAsia"/>
          <w:sz w:val="24"/>
        </w:rPr>
        <w:t>市值权益+当日出金)/(上日市值权益+当日入金)</w:t>
      </w:r>
    </w:p>
    <w:p w14:paraId="22BB7065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（15）累计收益率（%）= （累计净值-1）*100%</w:t>
      </w:r>
    </w:p>
    <w:p w14:paraId="64488264">
      <w:pPr>
        <w:pStyle w:val="22"/>
        <w:spacing w:line="360" w:lineRule="auto"/>
        <w:ind w:firstLine="480"/>
        <w:rPr>
          <w:rFonts w:hint="eastAsia" w:ascii="宋体" w:hAnsi="宋体" w:eastAsia="宋体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</w:rPr>
        <w:t>（16）夏普比率（%）=</w:t>
      </w:r>
      <m:oMath>
        <m:f>
          <m:fPr>
            <m:ctrlPr>
              <w:rPr>
                <w:rFonts w:ascii="Cambria Math" w:hAnsi="Cambria Math" w:eastAsia="宋体"/>
                <w:color w:val="000000"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ascii="宋体" w:hAnsi="宋体" w:eastAsia="宋体"/>
                <w:b w:val="0"/>
                <w:i w:val="0"/>
                <w:color w:val="000000"/>
                <w:sz w:val="28"/>
                <w:szCs w:val="28"/>
              </w:rPr>
              <m:t>日均收益率</m:t>
            </m:r>
            <m:r>
              <m:rPr>
                <m:nor/>
                <m:sty m:val="p"/>
              </m:rPr>
              <w:rPr>
                <w:rFonts w:ascii="宋体" w:hAnsi="宋体" w:eastAsia="宋体" w:cs="Cambria Math"/>
                <w:b w:val="0"/>
                <w:i w:val="0"/>
                <w:color w:val="000000"/>
                <w:sz w:val="28"/>
                <w:szCs w:val="28"/>
              </w:rPr>
              <m:t>*</m:t>
            </m:r>
            <m:r>
              <m:rPr>
                <m:nor/>
                <m:sty m:val="p"/>
              </m:rPr>
              <w:rPr>
                <w:rFonts w:ascii="宋体" w:hAnsi="宋体" w:eastAsia="宋体"/>
                <w:b w:val="0"/>
                <w:i w:val="0"/>
                <w:color w:val="000000"/>
                <w:sz w:val="28"/>
                <w:szCs w:val="28"/>
              </w:rPr>
              <m:t>252</m:t>
            </m:r>
            <m:r>
              <m:rPr>
                <m:nor/>
                <m:sty m:val="p"/>
              </m:rPr>
              <w:rPr>
                <w:rFonts w:ascii="宋体" w:hAnsi="宋体" w:eastAsia="宋体" w:cs="Cambria Math"/>
                <w:b w:val="0"/>
                <w:i w:val="0"/>
                <w:color w:val="000000"/>
                <w:sz w:val="28"/>
                <w:szCs w:val="28"/>
              </w:rPr>
              <m:t>-无风险</m:t>
            </m:r>
            <m:r>
              <m:rPr>
                <m:nor/>
                <m:sty m:val="p"/>
              </m:rPr>
              <w:rPr>
                <w:rFonts w:ascii="宋体" w:hAnsi="宋体" w:eastAsia="宋体" w:cs="Tahoma"/>
                <w:b w:val="0"/>
                <w:i w:val="0"/>
                <w:color w:val="333333"/>
                <w:sz w:val="28"/>
                <w:szCs w:val="28"/>
                <w:shd w:val="clear" w:color="auto" w:fill="FFFFFF"/>
              </w:rPr>
              <m:t>收益率</m:t>
            </m:r>
            <m:ctrlPr>
              <w:rPr>
                <w:rFonts w:ascii="Cambria Math" w:hAnsi="Cambria Math" w:eastAsia="宋体" w:cs="Cambria Math"/>
                <w:color w:val="000000"/>
                <w:sz w:val="28"/>
                <w:szCs w:val="28"/>
              </w:rPr>
            </m:ctrlPr>
          </m:num>
          <m:den>
            <m:r>
              <m:rPr>
                <m:nor/>
                <m:sty m:val="p"/>
              </m:rPr>
              <w:rPr>
                <w:rFonts w:ascii="宋体" w:hAnsi="宋体" w:eastAsia="宋体"/>
                <w:b w:val="0"/>
                <w:i w:val="0"/>
                <w:color w:val="000000"/>
                <w:sz w:val="28"/>
                <w:szCs w:val="28"/>
              </w:rPr>
              <m:t>波动率</m:t>
            </m:r>
            <m:r>
              <m:rPr>
                <m:nor/>
                <m:sty m:val="p"/>
              </m:rPr>
              <w:rPr>
                <w:rFonts w:ascii="宋体" w:hAnsi="宋体" w:eastAsia="宋体" w:cs="Cambria Math"/>
                <w:b w:val="0"/>
                <w:i w:val="0"/>
                <w:color w:val="000000"/>
                <w:sz w:val="28"/>
                <w:szCs w:val="28"/>
              </w:rPr>
              <m:t>*</m:t>
            </m:r>
            <m:r>
              <m:rPr>
                <m:nor/>
                <m:sty m:val="p"/>
              </m:rPr>
              <w:rPr>
                <w:rFonts w:ascii="宋体" w:hAnsi="宋体" w:eastAsia="宋体"/>
                <w:b w:val="0"/>
                <w:i w:val="0"/>
                <w:color w:val="000000"/>
                <w:sz w:val="28"/>
                <w:szCs w:val="28"/>
              </w:rPr>
              <m:t>15.87</m:t>
            </m:r>
            <m:ctrlPr>
              <w:rPr>
                <w:rFonts w:ascii="Cambria Math" w:hAnsi="Cambria Math" w:eastAsia="宋体"/>
                <w:color w:val="000000"/>
                <w:sz w:val="28"/>
                <w:szCs w:val="28"/>
              </w:rPr>
            </m:ctrlPr>
          </m:den>
        </m:f>
      </m:oMath>
    </w:p>
    <w:p w14:paraId="4F0178E3">
      <w:pPr>
        <w:pStyle w:val="22"/>
        <w:spacing w:line="360" w:lineRule="auto"/>
        <w:ind w:left="567" w:leftChars="270"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其中：</w:t>
      </w:r>
    </w:p>
    <w:p w14:paraId="06876C1E">
      <w:pPr>
        <w:pStyle w:val="22"/>
        <w:spacing w:line="360" w:lineRule="auto"/>
        <w:ind w:left="567" w:leftChars="270"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当日收益率=当日净值-1，其中当日净值的计算公式见累计净值。</w:t>
      </w:r>
    </w:p>
    <w:p w14:paraId="144B7199">
      <w:pPr>
        <w:pStyle w:val="22"/>
        <w:spacing w:line="360" w:lineRule="auto"/>
        <w:ind w:left="567" w:leftChars="270"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日均收益率</w:t>
      </w:r>
      <m:oMath>
        <m:acc>
          <m:accPr>
            <m:chr m:val="̅"/>
            <m:ctrlPr>
              <w:rPr>
                <w:rFonts w:ascii="Cambria Math" w:hAnsi="Cambria Math" w:cstheme="minorEastAsia"/>
                <w:i/>
                <w:sz w:val="24"/>
              </w:rPr>
            </m:ctrlPr>
          </m:accPr>
          <m:e>
            <m:r>
              <m:rPr/>
              <w:rPr>
                <w:rFonts w:hint="eastAsia" w:ascii="Cambria Math" w:hAnsi="Cambria Math" w:cstheme="minorEastAsia"/>
                <w:sz w:val="24"/>
              </w:rPr>
              <m:t>X</m:t>
            </m:r>
            <m:ctrlPr>
              <w:rPr>
                <w:rFonts w:ascii="Cambria Math" w:hAnsi="Cambria Math" w:cstheme="minorEastAsia"/>
                <w:i/>
                <w:sz w:val="24"/>
              </w:rPr>
            </m:ctrlPr>
          </m:e>
        </m:acc>
      </m:oMath>
      <w:r>
        <w:rPr>
          <w:rFonts w:hint="eastAsia" w:asciiTheme="minorEastAsia" w:hAnsiTheme="minorEastAsia" w:cstheme="minorEastAsia"/>
          <w:sz w:val="24"/>
        </w:rPr>
        <w:t>=</w:t>
      </w:r>
      <m:oMath>
        <m:f>
          <m:fPr>
            <m:ctrlPr>
              <w:rPr>
                <w:rFonts w:ascii="Cambria Math" w:hAnsi="Cambria Math" w:cstheme="minorEastAsia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 w:cstheme="minorEastAsia"/>
                <w:sz w:val="24"/>
              </w:rPr>
              <m:t>1</m:t>
            </m:r>
            <m:ctrlPr>
              <w:rPr>
                <w:rFonts w:ascii="Cambria Math" w:hAnsi="Cambria Math" w:cstheme="minorEastAsia"/>
                <w:i/>
                <w:sz w:val="24"/>
              </w:rPr>
            </m:ctrlPr>
          </m:num>
          <m:den>
            <m:r>
              <m:rPr/>
              <w:rPr>
                <w:rFonts w:hint="eastAsia" w:ascii="Cambria Math" w:hAnsi="Cambria Math" w:cstheme="minorEastAsia"/>
                <w:sz w:val="24"/>
              </w:rPr>
              <m:t>n</m:t>
            </m:r>
            <m:ctrlPr>
              <w:rPr>
                <w:rFonts w:ascii="Cambria Math" w:hAnsi="Cambria Math" w:cstheme="minorEastAsia"/>
                <w:i/>
                <w:sz w:val="24"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 w:cstheme="minorEastAsia"/>
                <w:i/>
                <w:sz w:val="24"/>
              </w:rPr>
            </m:ctrlPr>
          </m:naryPr>
          <m:sub>
            <m:r>
              <m:rPr/>
              <w:rPr>
                <w:rFonts w:hint="eastAsia" w:ascii="Cambria Math" w:hAnsi="Cambria Math" w:cstheme="minorEastAsia"/>
                <w:sz w:val="24"/>
              </w:rPr>
              <m:t>i</m:t>
            </m:r>
            <m:r>
              <m:rPr/>
              <w:rPr>
                <w:rFonts w:ascii="Cambria Math" w:hAnsi="Cambria Math" w:cstheme="minorEastAsia"/>
                <w:sz w:val="24"/>
              </w:rPr>
              <m:t>=1</m:t>
            </m:r>
            <m:ctrlPr>
              <w:rPr>
                <w:rFonts w:ascii="Cambria Math" w:hAnsi="Cambria Math" w:cstheme="minorEastAsia"/>
                <w:i/>
                <w:sz w:val="24"/>
              </w:rPr>
            </m:ctrlPr>
          </m:sub>
          <m:sup>
            <m:r>
              <m:rPr/>
              <w:rPr>
                <w:rFonts w:hint="eastAsia" w:ascii="Cambria Math" w:hAnsi="Cambria Math" w:cstheme="minorEastAsia"/>
                <w:sz w:val="24"/>
              </w:rPr>
              <m:t>n</m:t>
            </m:r>
            <m:ctrlPr>
              <w:rPr>
                <w:rFonts w:ascii="Cambria Math" w:hAnsi="Cambria Math" w:cstheme="minorEastAsia"/>
                <w:i/>
                <w:sz w:val="24"/>
              </w:rPr>
            </m:ctrlPr>
          </m:sup>
          <m:e>
            <m:r>
              <m:rPr/>
              <w:rPr>
                <w:rFonts w:hint="eastAsia" w:ascii="Cambria Math" w:hAnsi="Cambria Math" w:cstheme="minorEastAsia"/>
                <w:sz w:val="24"/>
              </w:rPr>
              <m:t>Xi</m:t>
            </m:r>
            <m:ctrlPr>
              <w:rPr>
                <w:rFonts w:ascii="Cambria Math" w:hAnsi="Cambria Math" w:cstheme="minorEastAsia"/>
                <w:i/>
                <w:sz w:val="24"/>
              </w:rPr>
            </m:ctrlPr>
          </m:e>
        </m:nary>
      </m:oMath>
      <w:r>
        <w:rPr>
          <w:rFonts w:hint="eastAsia" w:asciiTheme="minorEastAsia" w:hAnsiTheme="minorEastAsia" w:cstheme="minorEastAsia"/>
          <w:sz w:val="24"/>
        </w:rPr>
        <w:t>，其中Xi为每日的收益率，n为区间天数。</w:t>
      </w:r>
    </w:p>
    <w:p w14:paraId="2D51C4FD">
      <w:pPr>
        <w:pStyle w:val="22"/>
        <w:spacing w:line="360" w:lineRule="auto"/>
        <w:ind w:left="567" w:leftChars="270"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波动率S=</w:t>
      </w:r>
      <m:oMath>
        <m:rad>
          <m:radPr>
            <m:degHide m:val="1"/>
            <m:ctrlPr>
              <w:rPr>
                <w:rFonts w:ascii="Cambria Math" w:hAnsi="Cambria Math" w:cstheme="minorEastAsia"/>
                <w:i/>
                <w:sz w:val="24"/>
              </w:rPr>
            </m:ctrlPr>
          </m:radPr>
          <m:deg>
            <m:ctrlPr>
              <w:rPr>
                <w:rFonts w:ascii="Cambria Math" w:hAnsi="Cambria Math" w:cstheme="minorEastAsia"/>
                <w:i/>
                <w:sz w:val="24"/>
              </w:rPr>
            </m:ctrlPr>
          </m:deg>
          <m:e>
            <m:f>
              <m:fPr>
                <m:ctrlPr>
                  <w:rPr>
                    <w:rFonts w:ascii="Cambria Math" w:hAnsi="Cambria Math" w:cstheme="minorEastAsia"/>
                    <w:i/>
                    <w:sz w:val="24"/>
                  </w:rPr>
                </m:ctrlPr>
              </m:fPr>
              <m:num>
                <m:r>
                  <m:rPr/>
                  <w:rPr>
                    <w:rFonts w:ascii="Cambria Math" w:hAnsi="Cambria Math" w:cstheme="minorEastAsia"/>
                    <w:sz w:val="24"/>
                  </w:rPr>
                  <m:t>1</m:t>
                </m:r>
                <m:ctrlPr>
                  <w:rPr>
                    <w:rFonts w:ascii="Cambria Math" w:hAnsi="Cambria Math" w:cstheme="minorEastAsia"/>
                    <w:i/>
                    <w:sz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cstheme="minorEastAsia"/>
                    <w:sz w:val="24"/>
                  </w:rPr>
                  <m:t>n</m:t>
                </m:r>
                <m:r>
                  <m:rPr/>
                  <w:rPr>
                    <w:rFonts w:ascii="Cambria Math" w:hAnsi="Cambria Math" w:cstheme="minorEastAsia"/>
                    <w:sz w:val="24"/>
                  </w:rPr>
                  <m:t>−1</m:t>
                </m:r>
                <m:ctrlPr>
                  <w:rPr>
                    <w:rFonts w:ascii="Cambria Math" w:hAnsi="Cambria Math" w:cstheme="minorEastAsia"/>
                    <w:i/>
                    <w:sz w:val="24"/>
                  </w:rPr>
                </m:ctrlP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theme="minorEastAsia"/>
                    <w:i/>
                    <w:sz w:val="24"/>
                  </w:rPr>
                </m:ctrlPr>
              </m:naryPr>
              <m:sub>
                <m:r>
                  <m:rPr/>
                  <w:rPr>
                    <w:rFonts w:hint="eastAsia" w:ascii="Cambria Math" w:hAnsi="Cambria Math" w:cstheme="minorEastAsia"/>
                    <w:sz w:val="24"/>
                  </w:rPr>
                  <m:t>i</m:t>
                </m:r>
                <m:r>
                  <m:rPr/>
                  <w:rPr>
                    <w:rFonts w:ascii="Cambria Math" w:hAnsi="Cambria Math" w:cstheme="minorEastAsia"/>
                    <w:sz w:val="24"/>
                  </w:rPr>
                  <m:t>=1</m:t>
                </m:r>
                <m:ctrlPr>
                  <w:rPr>
                    <w:rFonts w:ascii="Cambria Math" w:hAnsi="Cambria Math" w:cstheme="minorEastAsia"/>
                    <w:i/>
                    <w:sz w:val="24"/>
                  </w:rPr>
                </m:ctrlPr>
              </m:sub>
              <m:sup>
                <m:r>
                  <m:rPr/>
                  <w:rPr>
                    <w:rFonts w:hint="eastAsia" w:ascii="Cambria Math" w:hAnsi="Cambria Math" w:cstheme="minorEastAsia"/>
                    <w:sz w:val="24"/>
                  </w:rPr>
                  <m:t>n</m:t>
                </m:r>
                <m:ctrlPr>
                  <w:rPr>
                    <w:rFonts w:ascii="Cambria Math" w:hAnsi="Cambria Math" w:cstheme="minorEastAsia"/>
                    <w:i/>
                    <w:sz w:val="24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 w:cstheme="minorEastAsia"/>
                        <w:i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inorEastAsia"/>
                            <w:i/>
                            <w:sz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hint="eastAsia" w:ascii="Cambria Math" w:hAnsi="Cambria Math" w:cstheme="minorEastAsia"/>
                            <w:sz w:val="24"/>
                          </w:rPr>
                          <m:t>Xi</m:t>
                        </m:r>
                        <m:r>
                          <m:rPr/>
                          <w:rPr>
                            <w:rFonts w:ascii="Cambria Math" w:hAnsi="Cambria Math" w:cstheme="minorEastAsia"/>
                            <w:sz w:val="24"/>
                          </w:rPr>
                          <m:t>−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theme="minorEastAsia"/>
                                <w:i/>
                                <w:sz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eastAsia" w:ascii="Cambria Math" w:hAnsi="Cambria Math" w:cstheme="minorEastAsia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cstheme="minorEastAsia"/>
                                <w:i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ascii="Cambria Math" w:hAnsi="Cambria Math" w:cstheme="minorEastAsia"/>
                            <w:i/>
                            <w:sz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 w:cstheme="minorEastAsia"/>
                        <w:i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theme="minorEastAsia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cstheme="minorEastAsia"/>
                        <w:i/>
                        <w:sz w:val="24"/>
                      </w:rPr>
                    </m:ctrlPr>
                  </m:sup>
                </m:sSup>
                <m:ctrlPr>
                  <w:rPr>
                    <w:rFonts w:ascii="Cambria Math" w:hAnsi="Cambria Math" w:cstheme="minorEastAsia"/>
                    <w:i/>
                    <w:sz w:val="24"/>
                  </w:rPr>
                </m:ctrlPr>
              </m:e>
            </m:nary>
            <m:ctrlPr>
              <w:rPr>
                <w:rFonts w:ascii="Cambria Math" w:hAnsi="Cambria Math" w:cstheme="minorEastAsia"/>
                <w:i/>
                <w:sz w:val="24"/>
              </w:rPr>
            </m:ctrlPr>
          </m:e>
        </m:rad>
      </m:oMath>
      <w:r>
        <w:rPr>
          <w:rFonts w:hint="eastAsia" w:asciiTheme="minorEastAsia" w:hAnsiTheme="minorEastAsia" w:cstheme="minorEastAsia"/>
          <w:sz w:val="24"/>
        </w:rPr>
        <w:t>。</w:t>
      </w:r>
    </w:p>
    <w:p w14:paraId="5CCFE5C5">
      <w:pPr>
        <w:pStyle w:val="22"/>
        <w:spacing w:line="360" w:lineRule="auto"/>
        <w:ind w:left="567" w:leftChars="270"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无风险收益率取3%</w:t>
      </w:r>
    </w:p>
    <w:p w14:paraId="4D27812D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4、界面展示：</w:t>
      </w:r>
    </w:p>
    <w:p w14:paraId="77902D1D"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</w:p>
    <w:p w14:paraId="1A9CA754"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drawing>
          <wp:inline distT="0" distB="0" distL="114300" distR="114300">
            <wp:extent cx="2708910" cy="7461250"/>
            <wp:effectExtent l="0" t="0" r="15240" b="6350"/>
            <wp:docPr id="14" name="图片 14" descr="资金汇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资金汇总"/>
                    <pic:cNvPicPr>
                      <a:picLocks noChangeAspect="1"/>
                    </pic:cNvPicPr>
                  </pic:nvPicPr>
                  <pic:blipFill>
                    <a:blip r:embed="rId4"/>
                    <a:srcRect b="17933"/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746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drawing>
          <wp:inline distT="0" distB="0" distL="114300" distR="114300">
            <wp:extent cx="2835910" cy="6464935"/>
            <wp:effectExtent l="0" t="0" r="2540" b="12065"/>
            <wp:docPr id="26" name="图片 26" descr="资金状况（日期选择弹窗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资金状况（日期选择弹窗）"/>
                    <pic:cNvPicPr>
                      <a:picLocks noChangeAspect="1"/>
                    </pic:cNvPicPr>
                  </pic:nvPicPr>
                  <pic:blipFill>
                    <a:blip r:embed="rId5"/>
                    <a:srcRect b="32085"/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2A51"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</w:p>
    <w:p w14:paraId="6CECBA78"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</w:p>
    <w:bookmarkEnd w:id="0"/>
    <w:p w14:paraId="0486AAB1">
      <w:pPr>
        <w:jc w:val="both"/>
        <w:rPr>
          <w:rFonts w:hint="eastAsia" w:ascii="仿宋" w:hAnsi="仿宋" w:eastAsia="仿宋"/>
          <w:sz w:val="24"/>
          <w:szCs w:val="24"/>
        </w:rPr>
      </w:pPr>
    </w:p>
    <w:p w14:paraId="3D4EFB41">
      <w:pPr>
        <w:pStyle w:val="3"/>
        <w:rPr>
          <w:rFonts w:hint="eastAsia" w:asciiTheme="majorEastAsia" w:hAnsiTheme="majorEastAsia"/>
          <w:sz w:val="24"/>
          <w:szCs w:val="24"/>
        </w:rPr>
      </w:pPr>
      <w:bookmarkStart w:id="1" w:name="_Toc174434781"/>
      <w:r>
        <w:rPr>
          <w:rFonts w:hint="eastAsia" w:asciiTheme="majorEastAsia" w:hAnsiTheme="majorEastAsia"/>
          <w:sz w:val="24"/>
          <w:szCs w:val="24"/>
        </w:rPr>
        <w:t>3.2趋势分析</w:t>
      </w:r>
      <w:bookmarkEnd w:id="1"/>
    </w:p>
    <w:p w14:paraId="1025C5B7">
      <w:pPr>
        <w:pStyle w:val="22"/>
        <w:spacing w:line="360" w:lineRule="auto"/>
        <w:ind w:firstLine="480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用户进入趋势分</w:t>
      </w:r>
      <w:bookmarkStart w:id="4" w:name="_GoBack"/>
      <w:bookmarkEnd w:id="4"/>
      <w:r>
        <w:rPr>
          <w:rFonts w:hint="eastAsia" w:asciiTheme="minorEastAsia" w:hAnsiTheme="minorEastAsia" w:cstheme="minorEastAsia"/>
          <w:sz w:val="24"/>
        </w:rPr>
        <w:t>析界面后可选择要查看的趋势曲线和曲线的统计时间范围，各曲线默认展示最近一周的数据波动。</w:t>
      </w:r>
    </w:p>
    <w:p w14:paraId="33D5367E">
      <w:pPr>
        <w:pStyle w:val="22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drawing>
          <wp:inline distT="0" distB="0" distL="114300" distR="114300">
            <wp:extent cx="2560955" cy="5777230"/>
            <wp:effectExtent l="0" t="0" r="0" b="0"/>
            <wp:docPr id="17" name="图片 17" descr="趋势分析（日期查询弹窗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趋势分析（日期查询弹窗）"/>
                    <pic:cNvPicPr>
                      <a:picLocks noChangeAspect="1"/>
                    </pic:cNvPicPr>
                  </pic:nvPicPr>
                  <pic:blipFill>
                    <a:blip r:embed="rId6"/>
                    <a:srcRect r="812" b="33328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drawing>
          <wp:inline distT="0" distB="0" distL="114300" distR="114300">
            <wp:extent cx="2611755" cy="5613400"/>
            <wp:effectExtent l="0" t="0" r="0" b="0"/>
            <wp:docPr id="16" name="图片 16" descr="趋势分析-趋势类型选择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趋势分析-趋势类型选择弹窗"/>
                    <pic:cNvPicPr>
                      <a:picLocks noChangeAspect="1"/>
                    </pic:cNvPicPr>
                  </pic:nvPicPr>
                  <pic:blipFill>
                    <a:blip r:embed="rId7"/>
                    <a:srcRect b="35956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41E4">
      <w:pPr>
        <w:pStyle w:val="4"/>
        <w:spacing w:before="120" w:after="120" w:line="360" w:lineRule="auto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3.2.1市值权益曲线</w:t>
      </w:r>
    </w:p>
    <w:p w14:paraId="111B8E55">
      <w:pPr>
        <w:pStyle w:val="22"/>
        <w:spacing w:line="360" w:lineRule="auto"/>
        <w:ind w:firstLine="0" w:firstLineChars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1、需求描述</w:t>
      </w:r>
    </w:p>
    <w:p w14:paraId="69300B86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支持用户选择</w:t>
      </w:r>
      <w:r>
        <w:rPr>
          <w:rFonts w:hint="eastAsia" w:asciiTheme="minorEastAsia" w:hAnsiTheme="minorEastAsia" w:cstheme="minorEastAsia"/>
          <w:color w:val="FF0000"/>
          <w:sz w:val="24"/>
        </w:rPr>
        <w:t>日期区间</w:t>
      </w:r>
      <w:r>
        <w:rPr>
          <w:rFonts w:hint="eastAsia" w:asciiTheme="minorEastAsia" w:hAnsiTheme="minorEastAsia" w:cstheme="minorEastAsia"/>
          <w:sz w:val="24"/>
        </w:rPr>
        <w:t>，查看该区间内的市值权益波动情况，以折线图形式展示，纵坐标为市值权益（万元），横坐标为日期，其中虚线表示该期间内的日均市值权益。</w:t>
      </w:r>
    </w:p>
    <w:p w14:paraId="7336F9CE">
      <w:pPr>
        <w:widowControl/>
        <w:spacing w:line="360" w:lineRule="auto"/>
        <w:jc w:val="left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2、数据来源：资金状况明细表-市值权益</w:t>
      </w:r>
    </w:p>
    <w:p w14:paraId="6E952614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3、计算逻辑：取筛选日期区间每个交易日市值权益字段的值，</w:t>
      </w:r>
    </w:p>
    <w:p w14:paraId="399A8D72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日均市值权益</w:t>
      </w:r>
      <m:oMath>
        <m:acc>
          <m:accPr>
            <m:chr m:val="̅"/>
            <m:ctrlPr>
              <w:rPr>
                <w:rFonts w:ascii="Cambria Math" w:hAnsi="Cambria Math" w:cstheme="minorEastAsia"/>
                <w:i/>
                <w:sz w:val="24"/>
              </w:rPr>
            </m:ctrlPr>
          </m:accPr>
          <m:e>
            <m:r>
              <m:rPr/>
              <w:rPr>
                <w:rFonts w:hint="eastAsia" w:ascii="Cambria Math" w:hAnsi="Cambria Math" w:cstheme="minorEastAsia"/>
                <w:sz w:val="24"/>
              </w:rPr>
              <m:t>X</m:t>
            </m:r>
            <m:ctrlPr>
              <w:rPr>
                <w:rFonts w:ascii="Cambria Math" w:hAnsi="Cambria Math" w:cstheme="minorEastAsia"/>
                <w:i/>
                <w:sz w:val="24"/>
              </w:rPr>
            </m:ctrlPr>
          </m:e>
        </m:acc>
      </m:oMath>
      <w:r>
        <w:rPr>
          <w:rFonts w:hint="eastAsia" w:asciiTheme="minorEastAsia" w:hAnsiTheme="minorEastAsia" w:cstheme="minorEastAsia"/>
          <w:sz w:val="24"/>
        </w:rPr>
        <w:t>=</w:t>
      </w:r>
      <m:oMath>
        <m:f>
          <m:fPr>
            <m:ctrlPr>
              <w:rPr>
                <w:rFonts w:ascii="Cambria Math" w:hAnsi="Cambria Math" w:cstheme="minorEastAsia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 w:cstheme="minorEastAsia"/>
                <w:sz w:val="24"/>
              </w:rPr>
              <m:t>1</m:t>
            </m:r>
            <m:ctrlPr>
              <w:rPr>
                <w:rFonts w:ascii="Cambria Math" w:hAnsi="Cambria Math" w:cstheme="minorEastAsia"/>
                <w:i/>
                <w:sz w:val="24"/>
              </w:rPr>
            </m:ctrlPr>
          </m:num>
          <m:den>
            <m:r>
              <m:rPr/>
              <w:rPr>
                <w:rFonts w:hint="eastAsia" w:ascii="Cambria Math" w:hAnsi="Cambria Math" w:cstheme="minorEastAsia"/>
                <w:sz w:val="24"/>
              </w:rPr>
              <m:t>n</m:t>
            </m:r>
            <m:ctrlPr>
              <w:rPr>
                <w:rFonts w:ascii="Cambria Math" w:hAnsi="Cambria Math" w:cstheme="minorEastAsia"/>
                <w:i/>
                <w:sz w:val="24"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 w:cstheme="minorEastAsia"/>
                <w:i/>
                <w:sz w:val="24"/>
              </w:rPr>
            </m:ctrlPr>
          </m:naryPr>
          <m:sub>
            <m:r>
              <m:rPr/>
              <w:rPr>
                <w:rFonts w:hint="eastAsia" w:ascii="Cambria Math" w:hAnsi="Cambria Math" w:cstheme="minorEastAsia"/>
                <w:sz w:val="24"/>
              </w:rPr>
              <m:t>i</m:t>
            </m:r>
            <m:r>
              <m:rPr/>
              <w:rPr>
                <w:rFonts w:ascii="Cambria Math" w:hAnsi="Cambria Math" w:cstheme="minorEastAsia"/>
                <w:sz w:val="24"/>
              </w:rPr>
              <m:t>=1</m:t>
            </m:r>
            <m:ctrlPr>
              <w:rPr>
                <w:rFonts w:ascii="Cambria Math" w:hAnsi="Cambria Math" w:cstheme="minorEastAsia"/>
                <w:i/>
                <w:sz w:val="24"/>
              </w:rPr>
            </m:ctrlPr>
          </m:sub>
          <m:sup>
            <m:r>
              <m:rPr/>
              <w:rPr>
                <w:rFonts w:hint="eastAsia" w:ascii="Cambria Math" w:hAnsi="Cambria Math" w:cstheme="minorEastAsia"/>
                <w:sz w:val="24"/>
              </w:rPr>
              <m:t>n</m:t>
            </m:r>
            <m:ctrlPr>
              <w:rPr>
                <w:rFonts w:ascii="Cambria Math" w:hAnsi="Cambria Math" w:cstheme="minorEastAsia"/>
                <w:i/>
                <w:sz w:val="24"/>
              </w:rPr>
            </m:ctrlPr>
          </m:sup>
          <m:e>
            <m:r>
              <m:rPr/>
              <w:rPr>
                <w:rFonts w:hint="eastAsia" w:ascii="Cambria Math" w:hAnsi="Cambria Math" w:cstheme="minorEastAsia"/>
                <w:sz w:val="24"/>
              </w:rPr>
              <m:t>Xi</m:t>
            </m:r>
            <m:ctrlPr>
              <w:rPr>
                <w:rFonts w:ascii="Cambria Math" w:hAnsi="Cambria Math" w:cstheme="minorEastAsia"/>
                <w:i/>
                <w:sz w:val="24"/>
              </w:rPr>
            </m:ctrlPr>
          </m:e>
        </m:nary>
      </m:oMath>
      <w:r>
        <w:rPr>
          <w:rFonts w:hint="eastAsia" w:asciiTheme="minorEastAsia" w:hAnsiTheme="minorEastAsia" w:cstheme="minorEastAsia"/>
          <w:sz w:val="24"/>
        </w:rPr>
        <w:t>，其中Xi为每日的市值权益，n为区间天数</w:t>
      </w:r>
    </w:p>
    <w:p w14:paraId="7B250231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4、界面展示</w:t>
      </w:r>
    </w:p>
    <w:p w14:paraId="34E24CEE">
      <w:pPr>
        <w:jc w:val="center"/>
        <w:rPr>
          <w:rFonts w:hint="eastAsia" w:ascii="仿宋" w:hAnsi="仿宋" w:eastAsia="仿宋"/>
          <w:sz w:val="24"/>
          <w:szCs w:val="24"/>
          <w:lang w:eastAsia="zh-CN"/>
        </w:rPr>
      </w:pPr>
    </w:p>
    <w:p w14:paraId="504E363C">
      <w:pPr>
        <w:jc w:val="left"/>
        <w:rPr>
          <w:rFonts w:hint="eastAsia" w:ascii="仿宋" w:hAnsi="仿宋" w:eastAsia="仿宋"/>
          <w:sz w:val="24"/>
          <w:szCs w:val="24"/>
          <w:lang w:eastAsia="zh-CN"/>
        </w:rPr>
      </w:pPr>
    </w:p>
    <w:p w14:paraId="37FF4FC3">
      <w:pPr>
        <w:jc w:val="left"/>
        <w:rPr>
          <w:rFonts w:hint="eastAsia" w:ascii="仿宋" w:hAnsi="仿宋" w:eastAsia="仿宋"/>
          <w:sz w:val="24"/>
          <w:szCs w:val="24"/>
          <w:lang w:eastAsia="zh-CN"/>
        </w:rPr>
      </w:pPr>
      <w:r>
        <w:rPr>
          <w:rFonts w:hint="eastAsia" w:ascii="仿宋" w:hAnsi="仿宋" w:eastAsia="仿宋"/>
          <w:sz w:val="24"/>
          <w:szCs w:val="24"/>
          <w:lang w:eastAsia="zh-CN"/>
        </w:rPr>
        <w:drawing>
          <wp:inline distT="0" distB="0" distL="114300" distR="114300">
            <wp:extent cx="2637790" cy="4813300"/>
            <wp:effectExtent l="0" t="0" r="0" b="0"/>
            <wp:docPr id="15" name="图片 15" descr="趋势分析-市值权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趋势分析-市值权益"/>
                    <pic:cNvPicPr>
                      <a:picLocks noChangeAspect="1"/>
                    </pic:cNvPicPr>
                  </pic:nvPicPr>
                  <pic:blipFill>
                    <a:blip r:embed="rId8"/>
                    <a:srcRect b="45628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E0BF">
      <w:pPr>
        <w:jc w:val="left"/>
        <w:rPr>
          <w:rFonts w:hint="eastAsia" w:ascii="仿宋" w:hAnsi="仿宋" w:eastAsia="仿宋"/>
          <w:sz w:val="24"/>
          <w:szCs w:val="24"/>
          <w:lang w:eastAsia="zh-CN"/>
        </w:rPr>
      </w:pPr>
    </w:p>
    <w:p w14:paraId="6B8406A0">
      <w:pPr>
        <w:jc w:val="left"/>
        <w:rPr>
          <w:rFonts w:hint="eastAsia" w:ascii="仿宋" w:hAnsi="仿宋" w:eastAsia="仿宋"/>
          <w:sz w:val="24"/>
          <w:szCs w:val="24"/>
          <w:lang w:eastAsia="zh-CN"/>
        </w:rPr>
      </w:pPr>
    </w:p>
    <w:p w14:paraId="188C8180">
      <w:pPr>
        <w:jc w:val="left"/>
        <w:rPr>
          <w:rFonts w:hint="eastAsia" w:ascii="仿宋" w:hAnsi="仿宋" w:eastAsia="仿宋"/>
          <w:sz w:val="24"/>
          <w:szCs w:val="24"/>
          <w:lang w:eastAsia="zh-CN"/>
        </w:rPr>
      </w:pPr>
    </w:p>
    <w:p w14:paraId="37781198">
      <w:pPr>
        <w:jc w:val="left"/>
        <w:rPr>
          <w:rFonts w:hint="eastAsia" w:ascii="仿宋" w:hAnsi="仿宋" w:eastAsia="仿宋"/>
          <w:sz w:val="24"/>
          <w:szCs w:val="24"/>
          <w:lang w:eastAsia="zh-CN"/>
        </w:rPr>
      </w:pPr>
    </w:p>
    <w:p w14:paraId="7F5A6D10">
      <w:pPr>
        <w:jc w:val="left"/>
        <w:rPr>
          <w:rFonts w:hint="eastAsia" w:ascii="仿宋" w:hAnsi="仿宋" w:eastAsia="仿宋"/>
          <w:sz w:val="24"/>
          <w:szCs w:val="24"/>
          <w:lang w:eastAsia="zh-CN"/>
        </w:rPr>
      </w:pPr>
    </w:p>
    <w:p w14:paraId="4B170995">
      <w:pPr>
        <w:pStyle w:val="4"/>
        <w:spacing w:before="120" w:after="120" w:line="360" w:lineRule="auto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3.2.2累计收益率曲线</w:t>
      </w:r>
    </w:p>
    <w:p w14:paraId="398FA85F">
      <w:pPr>
        <w:pStyle w:val="22"/>
        <w:spacing w:line="360" w:lineRule="auto"/>
        <w:ind w:firstLine="0" w:firstLineChars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1、需求描述</w:t>
      </w:r>
    </w:p>
    <w:p w14:paraId="573B1F19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支持用户选择</w:t>
      </w:r>
      <w:r>
        <w:rPr>
          <w:rFonts w:hint="eastAsia" w:asciiTheme="minorEastAsia" w:hAnsiTheme="minorEastAsia" w:cstheme="minorEastAsia"/>
          <w:color w:val="FF0000"/>
          <w:sz w:val="24"/>
        </w:rPr>
        <w:t>日期区间</w:t>
      </w:r>
      <w:r>
        <w:rPr>
          <w:rFonts w:hint="eastAsia" w:asciiTheme="minorEastAsia" w:hAnsiTheme="minorEastAsia" w:cstheme="minorEastAsia"/>
          <w:sz w:val="24"/>
        </w:rPr>
        <w:t>，查看该区间内的累计收益率的波动情况，以折线图形式展示，纵坐标为累计收益率，横坐标为日期，其中虚线表示区间内日均累计收益率。</w:t>
      </w:r>
    </w:p>
    <w:p w14:paraId="1224F314">
      <w:pPr>
        <w:widowControl/>
        <w:spacing w:line="360" w:lineRule="auto"/>
        <w:jc w:val="left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2、数据来源：资金状况查询-累计收益率</w:t>
      </w:r>
    </w:p>
    <w:p w14:paraId="2E8DF672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3、计算逻辑：取筛选日期区间每天累计收益率字段的值。</w:t>
      </w:r>
    </w:p>
    <w:p w14:paraId="5D84D49B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4、界面展示</w:t>
      </w:r>
    </w:p>
    <w:p w14:paraId="2725D7AD">
      <w:pPr>
        <w:autoSpaceDE w:val="0"/>
        <w:autoSpaceDN w:val="0"/>
        <w:adjustRightInd w:val="0"/>
        <w:jc w:val="both"/>
        <w:rPr>
          <w:rFonts w:hint="eastAsia" w:ascii="仿宋" w:hAnsi="仿宋" w:eastAsia="仿宋" w:cs="仿宋"/>
          <w:b/>
          <w:bCs/>
          <w:kern w:val="0"/>
          <w:sz w:val="24"/>
          <w:szCs w:val="24"/>
          <w:lang w:eastAsia="zh-CN"/>
        </w:rPr>
      </w:pPr>
    </w:p>
    <w:p w14:paraId="32D49C49">
      <w:pPr>
        <w:autoSpaceDE w:val="0"/>
        <w:autoSpaceDN w:val="0"/>
        <w:adjustRightInd w:val="0"/>
        <w:jc w:val="both"/>
        <w:rPr>
          <w:rFonts w:hint="eastAsia" w:ascii="仿宋" w:hAnsi="仿宋" w:eastAsia="仿宋" w:cs="仿宋"/>
          <w:b/>
          <w:bCs/>
          <w:kern w:val="0"/>
          <w:sz w:val="24"/>
          <w:szCs w:val="24"/>
          <w:vertAlign w:val="baseline"/>
          <w:lang w:eastAsia="zh-CN"/>
        </w:rPr>
      </w:pPr>
    </w:p>
    <w:p w14:paraId="4CB9AB22">
      <w:pPr>
        <w:autoSpaceDE w:val="0"/>
        <w:autoSpaceDN w:val="0"/>
        <w:adjustRightInd w:val="0"/>
        <w:jc w:val="both"/>
        <w:rPr>
          <w:rFonts w:hint="eastAsia" w:ascii="仿宋" w:hAnsi="仿宋" w:eastAsia="仿宋" w:cs="仿宋"/>
          <w:b/>
          <w:bCs/>
          <w:kern w:val="0"/>
          <w:sz w:val="24"/>
          <w:szCs w:val="24"/>
          <w:vertAlign w:val="baseline"/>
          <w:lang w:eastAsia="zh-CN"/>
        </w:rPr>
      </w:pPr>
    </w:p>
    <w:p w14:paraId="0BE760CC">
      <w:pPr>
        <w:autoSpaceDE w:val="0"/>
        <w:autoSpaceDN w:val="0"/>
        <w:adjustRightInd w:val="0"/>
        <w:jc w:val="both"/>
        <w:rPr>
          <w:rFonts w:hint="eastAsia" w:ascii="仿宋" w:hAnsi="仿宋" w:eastAsia="仿宋" w:cs="仿宋"/>
          <w:b/>
          <w:bCs/>
          <w:kern w:val="0"/>
          <w:sz w:val="24"/>
          <w:szCs w:val="24"/>
          <w:vertAlign w:val="subscript"/>
          <w:lang w:eastAsia="zh-CN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vertAlign w:val="baseline"/>
          <w:lang w:eastAsia="zh-CN"/>
        </w:rPr>
        <w:drawing>
          <wp:inline distT="0" distB="0" distL="114300" distR="114300">
            <wp:extent cx="2752090" cy="5273675"/>
            <wp:effectExtent l="0" t="0" r="0" b="0"/>
            <wp:docPr id="27" name="图片 27" descr="趋势分析-累计收益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趋势分析-累计收益率"/>
                    <pic:cNvPicPr>
                      <a:picLocks noChangeAspect="1"/>
                    </pic:cNvPicPr>
                  </pic:nvPicPr>
                  <pic:blipFill>
                    <a:blip r:embed="rId9"/>
                    <a:srcRect r="2056" b="44089"/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E85B">
      <w:pPr>
        <w:autoSpaceDE w:val="0"/>
        <w:autoSpaceDN w:val="0"/>
        <w:adjustRightInd w:val="0"/>
        <w:jc w:val="both"/>
        <w:rPr>
          <w:rFonts w:hint="eastAsia" w:ascii="仿宋" w:hAnsi="仿宋" w:eastAsia="仿宋" w:cs="仿宋"/>
          <w:b/>
          <w:bCs/>
          <w:kern w:val="0"/>
          <w:sz w:val="24"/>
          <w:szCs w:val="24"/>
          <w:lang w:eastAsia="zh-CN"/>
        </w:rPr>
      </w:pPr>
    </w:p>
    <w:p w14:paraId="41B7E33F">
      <w:pPr>
        <w:autoSpaceDE w:val="0"/>
        <w:autoSpaceDN w:val="0"/>
        <w:adjustRightInd w:val="0"/>
        <w:jc w:val="both"/>
        <w:rPr>
          <w:rFonts w:hint="eastAsia" w:ascii="仿宋" w:hAnsi="仿宋" w:eastAsia="仿宋" w:cs="仿宋"/>
          <w:b/>
          <w:bCs/>
          <w:kern w:val="0"/>
          <w:sz w:val="24"/>
          <w:szCs w:val="24"/>
          <w:lang w:eastAsia="zh-CN"/>
        </w:rPr>
      </w:pPr>
    </w:p>
    <w:p w14:paraId="4DD7676E">
      <w:pPr>
        <w:autoSpaceDE w:val="0"/>
        <w:autoSpaceDN w:val="0"/>
        <w:adjustRightInd w:val="0"/>
        <w:jc w:val="both"/>
        <w:rPr>
          <w:rFonts w:hint="eastAsia" w:ascii="仿宋" w:hAnsi="仿宋" w:eastAsia="仿宋" w:cs="仿宋"/>
          <w:b/>
          <w:bCs/>
          <w:kern w:val="0"/>
          <w:sz w:val="24"/>
          <w:szCs w:val="24"/>
          <w:lang w:eastAsia="zh-CN"/>
        </w:rPr>
      </w:pPr>
    </w:p>
    <w:p w14:paraId="5BA7B9AE">
      <w:pPr>
        <w:pStyle w:val="4"/>
        <w:spacing w:before="120" w:after="120" w:line="360" w:lineRule="auto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3.2.3回撤曲线</w:t>
      </w:r>
    </w:p>
    <w:p w14:paraId="14D67322">
      <w:pPr>
        <w:pStyle w:val="22"/>
        <w:spacing w:line="360" w:lineRule="auto"/>
        <w:ind w:firstLine="0" w:firstLineChars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1、需求描述</w:t>
      </w:r>
    </w:p>
    <w:p w14:paraId="020BAE08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支持用户选择</w:t>
      </w:r>
      <w:r>
        <w:rPr>
          <w:rFonts w:hint="eastAsia" w:asciiTheme="minorEastAsia" w:hAnsiTheme="minorEastAsia" w:cstheme="minorEastAsia"/>
          <w:color w:val="FF0000"/>
          <w:sz w:val="24"/>
        </w:rPr>
        <w:t>日期区间</w:t>
      </w:r>
      <w:r>
        <w:rPr>
          <w:rFonts w:hint="eastAsia" w:asciiTheme="minorEastAsia" w:hAnsiTheme="minorEastAsia" w:cstheme="minorEastAsia"/>
          <w:sz w:val="24"/>
        </w:rPr>
        <w:t>，查看该区间内的回撤率的波动情况，以折线图形式展示，纵坐标为回撤率，横坐标为日期，其中虚线表示区间内日均回撤曲线。</w:t>
      </w:r>
    </w:p>
    <w:p w14:paraId="152011BF">
      <w:pPr>
        <w:widowControl/>
        <w:spacing w:line="360" w:lineRule="auto"/>
        <w:jc w:val="left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2、数据来源：资金状况查询-累计净值</w:t>
      </w:r>
    </w:p>
    <w:p w14:paraId="0A557FA5">
      <w:pPr>
        <w:jc w:val="left"/>
        <w:rPr>
          <w:szCs w:val="21"/>
        </w:rPr>
      </w:pPr>
      <w:r>
        <w:rPr>
          <w:rFonts w:hint="eastAsia" w:asciiTheme="minorEastAsia" w:hAnsiTheme="minorEastAsia" w:cstheme="minorEastAsia"/>
          <w:sz w:val="24"/>
        </w:rPr>
        <w:t>3、计算逻辑：回撤率=</w:t>
      </w:r>
      <m:oMath>
        <m:r>
          <m:rPr>
            <m:nor/>
            <m:sty m:val="p"/>
          </m:rPr>
          <w:rPr>
            <w:rFonts w:asciiTheme="minorEastAsia" w:hAnsiTheme="minorEastAsia"/>
            <w:b w:val="0"/>
            <w:i w:val="0"/>
            <w:sz w:val="28"/>
            <w:szCs w:val="28"/>
          </w:rPr>
          <m:t>max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(0,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当日之前的最高累计净值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−当日累计净值</m:t>
            </m:r>
            <m:ctrlPr>
              <w:rPr>
                <w:rFonts w:ascii="Cambria Math" w:hAnsi="Cambria Math" w:cs="Cambria Math"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当日累计净值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∗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100%</m:t>
        </m:r>
      </m:oMath>
    </w:p>
    <w:p w14:paraId="70500F22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4、界面展示</w:t>
      </w:r>
    </w:p>
    <w:p w14:paraId="57C26045">
      <w:pPr>
        <w:jc w:val="both"/>
        <w:rPr>
          <w:rFonts w:hint="eastAsia" w:ascii="仿宋" w:hAnsi="仿宋" w:eastAsia="仿宋"/>
          <w:sz w:val="24"/>
          <w:szCs w:val="24"/>
          <w:lang w:eastAsia="zh-CN"/>
        </w:rPr>
      </w:pPr>
    </w:p>
    <w:p w14:paraId="4B721658">
      <w:pPr>
        <w:jc w:val="both"/>
        <w:rPr>
          <w:rFonts w:hint="eastAsia" w:ascii="仿宋" w:hAnsi="仿宋" w:eastAsia="仿宋"/>
          <w:sz w:val="24"/>
          <w:szCs w:val="24"/>
          <w:lang w:eastAsia="zh-CN"/>
        </w:rPr>
      </w:pPr>
      <w:r>
        <w:rPr>
          <w:rFonts w:hint="eastAsia" w:ascii="仿宋" w:hAnsi="仿宋" w:eastAsia="仿宋"/>
          <w:sz w:val="24"/>
          <w:szCs w:val="24"/>
          <w:lang w:eastAsia="zh-CN"/>
        </w:rPr>
        <w:drawing>
          <wp:inline distT="0" distB="0" distL="114300" distR="114300">
            <wp:extent cx="2637790" cy="5445125"/>
            <wp:effectExtent l="0" t="0" r="0" b="0"/>
            <wp:docPr id="19" name="图片 19" descr="趋势分析-回撤率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趋势分析-回撤率曲线"/>
                    <pic:cNvPicPr>
                      <a:picLocks noChangeAspect="1"/>
                    </pic:cNvPicPr>
                  </pic:nvPicPr>
                  <pic:blipFill>
                    <a:blip r:embed="rId10"/>
                    <a:srcRect b="38491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C8BB">
      <w:pPr>
        <w:jc w:val="both"/>
        <w:rPr>
          <w:rFonts w:hint="eastAsia" w:ascii="仿宋" w:hAnsi="仿宋" w:eastAsia="仿宋"/>
          <w:sz w:val="24"/>
          <w:szCs w:val="24"/>
          <w:lang w:eastAsia="zh-CN"/>
        </w:rPr>
      </w:pPr>
    </w:p>
    <w:p w14:paraId="4C8B366E">
      <w:pPr>
        <w:jc w:val="both"/>
        <w:rPr>
          <w:rFonts w:hint="eastAsia" w:ascii="仿宋" w:hAnsi="仿宋" w:eastAsia="仿宋"/>
          <w:sz w:val="24"/>
          <w:szCs w:val="24"/>
          <w:lang w:eastAsia="zh-CN"/>
        </w:rPr>
      </w:pPr>
    </w:p>
    <w:p w14:paraId="7AB96457">
      <w:pPr>
        <w:pStyle w:val="3"/>
        <w:rPr>
          <w:rFonts w:hint="eastAsia" w:asciiTheme="majorEastAsia" w:hAnsiTheme="majorEastAsia"/>
          <w:sz w:val="24"/>
          <w:szCs w:val="24"/>
        </w:rPr>
      </w:pPr>
      <w:r>
        <w:rPr>
          <w:rFonts w:hint="eastAsia" w:asciiTheme="majorEastAsia" w:hAnsiTheme="majorEastAsia"/>
          <w:sz w:val="24"/>
          <w:szCs w:val="24"/>
        </w:rPr>
        <w:t>3.3交易品种偏好分析</w:t>
      </w:r>
    </w:p>
    <w:p w14:paraId="4A65F87E">
      <w:pPr>
        <w:pStyle w:val="22"/>
        <w:spacing w:line="360" w:lineRule="auto"/>
        <w:ind w:firstLine="0" w:firstLineChars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1、需求描述</w:t>
      </w:r>
    </w:p>
    <w:p w14:paraId="44FAC36E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支持用户选择</w:t>
      </w:r>
      <w:r>
        <w:rPr>
          <w:rFonts w:hint="eastAsia" w:asciiTheme="minorEastAsia" w:hAnsiTheme="minorEastAsia" w:cstheme="minorEastAsia"/>
          <w:color w:val="FF0000"/>
          <w:sz w:val="24"/>
        </w:rPr>
        <w:t>日期区间</w:t>
      </w:r>
      <w:r>
        <w:rPr>
          <w:rFonts w:hint="eastAsia" w:asciiTheme="minorEastAsia" w:hAnsiTheme="minorEastAsia" w:cstheme="minorEastAsia"/>
          <w:sz w:val="24"/>
        </w:rPr>
        <w:t>，查看该区间内各品种的交易情况和交易品种分析小结（根据总成交量判断投资参与热情，根据净利润判断收益贡献和亏损程度）。</w:t>
      </w:r>
    </w:p>
    <w:p w14:paraId="63281BA4">
      <w:pPr>
        <w:widowControl/>
        <w:spacing w:line="360" w:lineRule="auto"/>
        <w:jc w:val="left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2、数据来源：交易品种明细表</w:t>
      </w:r>
    </w:p>
    <w:p w14:paraId="14B943C3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3、计算逻辑：</w:t>
      </w:r>
    </w:p>
    <w:p w14:paraId="58D557F5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（1）日内交易量=平均量</w:t>
      </w:r>
      <w:r>
        <w:rPr>
          <w:rFonts w:hint="eastAsia" w:asciiTheme="minorEastAsia" w:hAnsiTheme="minorEastAsia" w:cstheme="minorEastAsia"/>
          <w:sz w:val="24"/>
        </w:rPr>
        <w:sym w:font="Wingdings 2" w:char="F0CD"/>
      </w:r>
      <w:r>
        <w:rPr>
          <w:rFonts w:hint="eastAsia" w:asciiTheme="minorEastAsia" w:hAnsiTheme="minorEastAsia" w:cstheme="minorEastAsia"/>
          <w:sz w:val="24"/>
        </w:rPr>
        <w:t>2</w:t>
      </w:r>
    </w:p>
    <w:p w14:paraId="7F8DE493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（2）交易盈亏（元）=期权品种总盈亏+期货品种总盈亏</w:t>
      </w:r>
    </w:p>
    <w:p w14:paraId="0562BBFE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（3）平仓盈亏（元）=交易盈亏-持仓盈亏</w:t>
      </w:r>
    </w:p>
    <w:p w14:paraId="1FE5FDA4">
      <w:pPr>
        <w:pStyle w:val="22"/>
        <w:spacing w:line="360" w:lineRule="auto"/>
        <w:ind w:left="990" w:leftChars="228" w:hanging="511" w:hangingChars="213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（4）手续费汇总（元）=手续费+移仓手续费+结算手续费+交割手续费+行权手续费</w:t>
      </w:r>
    </w:p>
    <w:p w14:paraId="4ED633E1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（5）净利润（元）=交易盈亏-手续费汇总</w:t>
      </w:r>
    </w:p>
    <w:p w14:paraId="22FFCCF1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4、界面展示</w:t>
      </w:r>
    </w:p>
    <w:p w14:paraId="393FA2F2">
      <w:pPr>
        <w:jc w:val="both"/>
        <w:rPr>
          <w:rFonts w:hint="eastAsia" w:eastAsiaTheme="minorEastAsia"/>
          <w:lang w:eastAsia="zh-CN"/>
        </w:rPr>
      </w:pPr>
      <w:bookmarkStart w:id="2" w:name="_Toc174434782"/>
    </w:p>
    <w:p w14:paraId="46F7F16E">
      <w:p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37790" cy="5462905"/>
            <wp:effectExtent l="0" t="0" r="0" b="0"/>
            <wp:docPr id="20" name="图片 20" descr="品种交易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品种交易分析"/>
                    <pic:cNvPicPr>
                      <a:picLocks noChangeAspect="1"/>
                    </pic:cNvPicPr>
                  </pic:nvPicPr>
                  <pic:blipFill>
                    <a:blip r:embed="rId11"/>
                    <a:srcRect b="38290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75865" cy="5506085"/>
            <wp:effectExtent l="0" t="0" r="635" b="18415"/>
            <wp:docPr id="21" name="图片 21" descr="品种交易分析（日期查询弹窗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品种交易分析（日期查询弹窗）"/>
                    <pic:cNvPicPr>
                      <a:picLocks noChangeAspect="1"/>
                    </pic:cNvPicPr>
                  </pic:nvPicPr>
                  <pic:blipFill>
                    <a:blip r:embed="rId12"/>
                    <a:srcRect b="33742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7AAF">
      <w:pPr>
        <w:jc w:val="both"/>
        <w:rPr>
          <w:rFonts w:hint="eastAsia" w:eastAsiaTheme="minorEastAsia"/>
          <w:lang w:eastAsia="zh-CN"/>
        </w:rPr>
      </w:pPr>
    </w:p>
    <w:p w14:paraId="6D02779E">
      <w:pPr>
        <w:jc w:val="both"/>
        <w:rPr>
          <w:rFonts w:hint="eastAsia" w:eastAsiaTheme="minorEastAsia"/>
          <w:lang w:eastAsia="zh-CN"/>
        </w:rPr>
      </w:pPr>
    </w:p>
    <w:p w14:paraId="47E6354A">
      <w:pPr>
        <w:jc w:val="both"/>
        <w:rPr>
          <w:rFonts w:hint="eastAsia" w:eastAsiaTheme="minorEastAsia"/>
          <w:lang w:eastAsia="zh-CN"/>
        </w:rPr>
      </w:pPr>
    </w:p>
    <w:p w14:paraId="03E11588">
      <w:pPr>
        <w:pStyle w:val="3"/>
        <w:rPr>
          <w:rFonts w:hint="eastAsia" w:asciiTheme="majorEastAsia" w:hAnsiTheme="majorEastAsia"/>
          <w:sz w:val="24"/>
          <w:szCs w:val="24"/>
        </w:rPr>
      </w:pPr>
      <w:r>
        <w:rPr>
          <w:rFonts w:hint="eastAsia" w:asciiTheme="majorEastAsia" w:hAnsiTheme="majorEastAsia"/>
          <w:sz w:val="24"/>
          <w:szCs w:val="24"/>
        </w:rPr>
        <w:t>3.4交易分析</w:t>
      </w:r>
      <w:bookmarkEnd w:id="2"/>
    </w:p>
    <w:p w14:paraId="5D2379A1">
      <w:pPr>
        <w:pStyle w:val="22"/>
        <w:spacing w:line="360" w:lineRule="auto"/>
        <w:ind w:firstLine="0" w:firstLineChars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1、需求描述</w:t>
      </w:r>
    </w:p>
    <w:p w14:paraId="0021B1A6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支持用户选择日期区间查看区间内的交易分析类型，包括品种盈亏分析（柱状图，纵坐标为交易盈亏，横坐标为交易品种）和交易分布（饼图，鼠标放上去展示每个品种的占比），默认展示最近一周的情况。</w:t>
      </w:r>
    </w:p>
    <w:p w14:paraId="0E34CB49">
      <w:pPr>
        <w:widowControl/>
        <w:spacing w:line="360" w:lineRule="auto"/>
        <w:jc w:val="left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2、数据来源：交易品种偏好分析-交易盈亏 </w:t>
      </w:r>
    </w:p>
    <w:p w14:paraId="1A675A62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3、计算逻辑：交易分布比例=</w:t>
      </w:r>
      <w:r>
        <w:rPr>
          <w:rFonts w:asciiTheme="minorEastAsia" w:hAnsiTheme="minorEastAsia" w:cstheme="minorEastAsia"/>
          <w:sz w:val="24"/>
        </w:rPr>
        <w:t>该品种总成交量/所有品种成交量汇总</w:t>
      </w:r>
    </w:p>
    <w:p w14:paraId="291DEE69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4、界面展示</w:t>
      </w:r>
    </w:p>
    <w:p w14:paraId="584AF4AA">
      <w:pPr>
        <w:autoSpaceDE w:val="0"/>
        <w:autoSpaceDN w:val="0"/>
        <w:adjustRightInd w:val="0"/>
        <w:jc w:val="both"/>
        <w:rPr>
          <w:rFonts w:hint="eastAsia" w:ascii="仿宋" w:hAnsi="仿宋" w:eastAsia="仿宋" w:cs="仿宋"/>
          <w:b/>
          <w:bCs/>
          <w:kern w:val="0"/>
          <w:sz w:val="24"/>
          <w:szCs w:val="24"/>
          <w:lang w:eastAsia="zh-CN"/>
        </w:rPr>
      </w:pPr>
    </w:p>
    <w:p w14:paraId="0F769438">
      <w:pPr>
        <w:autoSpaceDE w:val="0"/>
        <w:autoSpaceDN w:val="0"/>
        <w:adjustRightInd w:val="0"/>
        <w:jc w:val="both"/>
        <w:rPr>
          <w:rFonts w:hint="eastAsia" w:ascii="仿宋" w:hAnsi="仿宋" w:eastAsia="仿宋" w:cs="仿宋"/>
          <w:b/>
          <w:bCs/>
          <w:kern w:val="0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eastAsia="zh-CN"/>
        </w:rPr>
        <w:drawing>
          <wp:inline distT="0" distB="0" distL="114300" distR="114300">
            <wp:extent cx="2560320" cy="5370830"/>
            <wp:effectExtent l="0" t="0" r="11430" b="1270"/>
            <wp:docPr id="22" name="图片 22" descr="交易品种偏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交易品种偏好"/>
                    <pic:cNvPicPr>
                      <a:picLocks noChangeAspect="1"/>
                    </pic:cNvPicPr>
                  </pic:nvPicPr>
                  <pic:blipFill>
                    <a:blip r:embed="rId13"/>
                    <a:srcRect b="3750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eastAsia="zh-CN"/>
        </w:rPr>
        <w:drawing>
          <wp:inline distT="0" distB="0" distL="114300" distR="114300">
            <wp:extent cx="2487295" cy="5397500"/>
            <wp:effectExtent l="0" t="0" r="8255" b="12700"/>
            <wp:docPr id="24" name="图片 24" descr="交易品种偏好（日期查询弹窗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交易品种偏好（日期查询弹窗）"/>
                    <pic:cNvPicPr>
                      <a:picLocks noChangeAspect="1"/>
                    </pic:cNvPicPr>
                  </pic:nvPicPr>
                  <pic:blipFill>
                    <a:blip r:embed="rId14"/>
                    <a:srcRect b="35342"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eastAsia="zh-CN"/>
        </w:rPr>
        <w:drawing>
          <wp:inline distT="0" distB="0" distL="114300" distR="114300">
            <wp:extent cx="5269865" cy="5735955"/>
            <wp:effectExtent l="0" t="0" r="6985" b="17145"/>
            <wp:docPr id="23" name="图片 23" descr="交易品种偏好完整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交易品种偏好完整界面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B07F">
      <w:pPr>
        <w:autoSpaceDE w:val="0"/>
        <w:autoSpaceDN w:val="0"/>
        <w:adjustRightInd w:val="0"/>
        <w:jc w:val="both"/>
        <w:rPr>
          <w:rFonts w:hint="eastAsia" w:ascii="仿宋" w:hAnsi="仿宋" w:eastAsia="仿宋" w:cs="仿宋"/>
          <w:b/>
          <w:bCs/>
          <w:kern w:val="0"/>
          <w:sz w:val="24"/>
          <w:szCs w:val="24"/>
          <w:lang w:eastAsia="zh-CN"/>
        </w:rPr>
      </w:pPr>
    </w:p>
    <w:p w14:paraId="7C500AB5">
      <w:pPr>
        <w:autoSpaceDE w:val="0"/>
        <w:autoSpaceDN w:val="0"/>
        <w:adjustRightInd w:val="0"/>
        <w:jc w:val="both"/>
        <w:rPr>
          <w:rFonts w:hint="eastAsia" w:ascii="仿宋" w:hAnsi="仿宋" w:eastAsia="仿宋" w:cs="仿宋"/>
          <w:b/>
          <w:bCs/>
          <w:kern w:val="0"/>
          <w:sz w:val="24"/>
          <w:szCs w:val="24"/>
          <w:lang w:eastAsia="zh-CN"/>
        </w:rPr>
      </w:pPr>
    </w:p>
    <w:p w14:paraId="45BFE3F2">
      <w:pPr>
        <w:autoSpaceDE w:val="0"/>
        <w:autoSpaceDN w:val="0"/>
        <w:adjustRightInd w:val="0"/>
        <w:jc w:val="center"/>
        <w:rPr>
          <w:rFonts w:hint="eastAsia" w:ascii="仿宋" w:hAnsi="仿宋" w:eastAsia="仿宋" w:cs="仿宋"/>
          <w:b/>
          <w:bCs/>
          <w:kern w:val="0"/>
          <w:sz w:val="24"/>
          <w:szCs w:val="24"/>
        </w:rPr>
      </w:pPr>
    </w:p>
    <w:p w14:paraId="6D98980C">
      <w:pPr>
        <w:pStyle w:val="3"/>
        <w:rPr>
          <w:rFonts w:hint="eastAsia" w:asciiTheme="majorEastAsia" w:hAnsiTheme="majorEastAsia"/>
          <w:sz w:val="24"/>
          <w:szCs w:val="24"/>
        </w:rPr>
      </w:pPr>
      <w:bookmarkStart w:id="3" w:name="_Toc174434783"/>
      <w:r>
        <w:rPr>
          <w:rFonts w:hint="eastAsia" w:asciiTheme="majorEastAsia" w:hAnsiTheme="majorEastAsia"/>
          <w:sz w:val="24"/>
          <w:szCs w:val="24"/>
        </w:rPr>
        <w:t>3.5风险分析</w:t>
      </w:r>
      <w:bookmarkEnd w:id="3"/>
    </w:p>
    <w:p w14:paraId="2A834503">
      <w:pPr>
        <w:pStyle w:val="22"/>
        <w:spacing w:line="360" w:lineRule="auto"/>
        <w:ind w:firstLine="0" w:firstLineChars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1、需求描述</w:t>
      </w:r>
    </w:p>
    <w:p w14:paraId="08FB55B1">
      <w:pPr>
        <w:pStyle w:val="22"/>
        <w:spacing w:line="360" w:lineRule="auto"/>
        <w:ind w:firstLine="48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支持用户选择日期区间查看区间内的交易的风险度和交易风险小结，默认展示最近一周的情况，以柱状图展示，纵坐标为风险度（%），横坐标为日期，其中虚线表示区间内日均风险度。</w:t>
      </w:r>
    </w:p>
    <w:p w14:paraId="2D13135C">
      <w:pPr>
        <w:widowControl/>
        <w:spacing w:line="360" w:lineRule="auto"/>
        <w:jc w:val="left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2、数据来源：风险分析表</w:t>
      </w:r>
    </w:p>
    <w:p w14:paraId="4FDA82C4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3、计算逻辑：风险度=（保证金/期末权益）*100%</w:t>
      </w:r>
    </w:p>
    <w:p w14:paraId="1ED5A9E1">
      <w:pPr>
        <w:spacing w:line="360" w:lineRule="auto"/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</w:rPr>
        <w:t>4、界面展示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:</w:t>
      </w:r>
    </w:p>
    <w:p w14:paraId="3D3DCBED">
      <w:pPr>
        <w:spacing w:line="360" w:lineRule="auto"/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drawing>
          <wp:inline distT="0" distB="0" distL="114300" distR="114300">
            <wp:extent cx="2637790" cy="4826000"/>
            <wp:effectExtent l="0" t="0" r="0" b="0"/>
            <wp:docPr id="25" name="图片 25" descr="风险度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风险度分析"/>
                    <pic:cNvPicPr>
                      <a:picLocks noChangeAspect="1"/>
                    </pic:cNvPicPr>
                  </pic:nvPicPr>
                  <pic:blipFill>
                    <a:blip r:embed="rId16"/>
                    <a:srcRect b="45485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drawing>
          <wp:inline distT="0" distB="0" distL="114300" distR="114300">
            <wp:extent cx="2472690" cy="5610860"/>
            <wp:effectExtent l="0" t="0" r="3810" b="8890"/>
            <wp:docPr id="28" name="图片 28" descr="风险度分析（日期选择弹窗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风险度分析（日期选择弹窗）"/>
                    <pic:cNvPicPr>
                      <a:picLocks noChangeAspect="1"/>
                    </pic:cNvPicPr>
                  </pic:nvPicPr>
                  <pic:blipFill>
                    <a:blip r:embed="rId17"/>
                    <a:srcRect b="32386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6DF4">
      <w:pPr>
        <w:spacing w:line="360" w:lineRule="auto"/>
        <w:rPr>
          <w:rFonts w:hint="eastAsia" w:asciiTheme="minorEastAsia" w:hAnsiTheme="minorEastAsia" w:cstheme="minorEastAsia"/>
          <w:sz w:val="24"/>
          <w:lang w:val="en-US" w:eastAsia="zh-CN"/>
        </w:rPr>
      </w:pPr>
    </w:p>
    <w:p w14:paraId="34C1DC71">
      <w:pPr>
        <w:jc w:val="both"/>
        <w:rPr>
          <w:rFonts w:hint="eastAsia" w:ascii="仿宋" w:hAnsi="仿宋" w:eastAsia="仿宋"/>
          <w:sz w:val="24"/>
          <w:szCs w:val="24"/>
          <w:lang w:eastAsia="zh-CN"/>
        </w:rPr>
      </w:pPr>
    </w:p>
    <w:p w14:paraId="1CC678F6">
      <w:pPr>
        <w:jc w:val="both"/>
        <w:rPr>
          <w:rFonts w:hint="eastAsia" w:ascii="仿宋" w:hAnsi="仿宋" w:eastAsia="仿宋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0B4A0C"/>
    <w:multiLevelType w:val="multilevel"/>
    <w:tmpl w:val="160B4A0C"/>
    <w:lvl w:ilvl="0" w:tentative="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A446E6B"/>
    <w:multiLevelType w:val="multilevel"/>
    <w:tmpl w:val="6A446E6B"/>
    <w:lvl w:ilvl="0" w:tentative="0">
      <w:start w:val="1"/>
      <w:numFmt w:val="decimalEnclosedCircle"/>
      <w:lvlText w:val="%1"/>
      <w:lvlJc w:val="left"/>
      <w:pPr>
        <w:ind w:left="1488" w:hanging="360"/>
      </w:pPr>
      <w:rPr>
        <w:rFonts w:hint="default"/>
      </w:rPr>
    </w:lvl>
    <w:lvl w:ilvl="1" w:tentative="0">
      <w:start w:val="1"/>
      <w:numFmt w:val="lowerLetter"/>
      <w:lvlText w:val="%2．"/>
      <w:lvlJc w:val="left"/>
      <w:pPr>
        <w:ind w:left="1928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448" w:hanging="440"/>
      </w:pPr>
    </w:lvl>
    <w:lvl w:ilvl="3" w:tentative="0">
      <w:start w:val="1"/>
      <w:numFmt w:val="decimal"/>
      <w:lvlText w:val="%4."/>
      <w:lvlJc w:val="left"/>
      <w:pPr>
        <w:ind w:left="2888" w:hanging="440"/>
      </w:pPr>
    </w:lvl>
    <w:lvl w:ilvl="4" w:tentative="0">
      <w:start w:val="1"/>
      <w:numFmt w:val="lowerLetter"/>
      <w:lvlText w:val="%5)"/>
      <w:lvlJc w:val="left"/>
      <w:pPr>
        <w:ind w:left="3328" w:hanging="440"/>
      </w:pPr>
    </w:lvl>
    <w:lvl w:ilvl="5" w:tentative="0">
      <w:start w:val="1"/>
      <w:numFmt w:val="lowerRoman"/>
      <w:lvlText w:val="%6."/>
      <w:lvlJc w:val="right"/>
      <w:pPr>
        <w:ind w:left="3768" w:hanging="440"/>
      </w:pPr>
    </w:lvl>
    <w:lvl w:ilvl="6" w:tentative="0">
      <w:start w:val="1"/>
      <w:numFmt w:val="decimal"/>
      <w:lvlText w:val="%7."/>
      <w:lvlJc w:val="left"/>
      <w:pPr>
        <w:ind w:left="4208" w:hanging="440"/>
      </w:pPr>
    </w:lvl>
    <w:lvl w:ilvl="7" w:tentative="0">
      <w:start w:val="1"/>
      <w:numFmt w:val="lowerLetter"/>
      <w:lvlText w:val="%8)"/>
      <w:lvlJc w:val="left"/>
      <w:pPr>
        <w:ind w:left="4648" w:hanging="440"/>
      </w:pPr>
    </w:lvl>
    <w:lvl w:ilvl="8" w:tentative="0">
      <w:start w:val="1"/>
      <w:numFmt w:val="lowerRoman"/>
      <w:lvlText w:val="%9."/>
      <w:lvlJc w:val="right"/>
      <w:pPr>
        <w:ind w:left="5088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UzNDBmYjAwMjk3ZWUwZGFjOTI1ZGE2ODgyM2VmODQifQ=="/>
  </w:docVars>
  <w:rsids>
    <w:rsidRoot w:val="00F43E35"/>
    <w:rsid w:val="00006A06"/>
    <w:rsid w:val="000075E2"/>
    <w:rsid w:val="000119F2"/>
    <w:rsid w:val="00014F95"/>
    <w:rsid w:val="000160D6"/>
    <w:rsid w:val="000212BD"/>
    <w:rsid w:val="0002586E"/>
    <w:rsid w:val="00025992"/>
    <w:rsid w:val="000313A3"/>
    <w:rsid w:val="00040044"/>
    <w:rsid w:val="0005475B"/>
    <w:rsid w:val="00060935"/>
    <w:rsid w:val="00063B42"/>
    <w:rsid w:val="000715C3"/>
    <w:rsid w:val="0008183D"/>
    <w:rsid w:val="00085C6B"/>
    <w:rsid w:val="00096378"/>
    <w:rsid w:val="000A260B"/>
    <w:rsid w:val="000A2662"/>
    <w:rsid w:val="000B6A47"/>
    <w:rsid w:val="000D35F2"/>
    <w:rsid w:val="000E535A"/>
    <w:rsid w:val="001158FB"/>
    <w:rsid w:val="00121B92"/>
    <w:rsid w:val="00122E82"/>
    <w:rsid w:val="00126980"/>
    <w:rsid w:val="00134C82"/>
    <w:rsid w:val="00150EEA"/>
    <w:rsid w:val="001707EA"/>
    <w:rsid w:val="00173FBF"/>
    <w:rsid w:val="00175800"/>
    <w:rsid w:val="0018705B"/>
    <w:rsid w:val="00191887"/>
    <w:rsid w:val="00196FC8"/>
    <w:rsid w:val="001A1106"/>
    <w:rsid w:val="001B5AE0"/>
    <w:rsid w:val="001C0C8B"/>
    <w:rsid w:val="001C1DE2"/>
    <w:rsid w:val="001D31F5"/>
    <w:rsid w:val="001D3989"/>
    <w:rsid w:val="001D5978"/>
    <w:rsid w:val="001F0160"/>
    <w:rsid w:val="001F29CD"/>
    <w:rsid w:val="0020097A"/>
    <w:rsid w:val="00216BB7"/>
    <w:rsid w:val="0022133C"/>
    <w:rsid w:val="0022276D"/>
    <w:rsid w:val="002323B6"/>
    <w:rsid w:val="002326A0"/>
    <w:rsid w:val="00260DDA"/>
    <w:rsid w:val="00270F29"/>
    <w:rsid w:val="00270F41"/>
    <w:rsid w:val="00291077"/>
    <w:rsid w:val="002B0973"/>
    <w:rsid w:val="002D29BB"/>
    <w:rsid w:val="002F7C87"/>
    <w:rsid w:val="00301AFB"/>
    <w:rsid w:val="003110FD"/>
    <w:rsid w:val="003249F5"/>
    <w:rsid w:val="003346FF"/>
    <w:rsid w:val="00336CC9"/>
    <w:rsid w:val="003376D0"/>
    <w:rsid w:val="00337796"/>
    <w:rsid w:val="00337E1E"/>
    <w:rsid w:val="00341425"/>
    <w:rsid w:val="00351B0A"/>
    <w:rsid w:val="00361D0D"/>
    <w:rsid w:val="00363280"/>
    <w:rsid w:val="00380C74"/>
    <w:rsid w:val="003A025F"/>
    <w:rsid w:val="003B0A7B"/>
    <w:rsid w:val="003C14CA"/>
    <w:rsid w:val="003C4396"/>
    <w:rsid w:val="003D7BDB"/>
    <w:rsid w:val="003F00E7"/>
    <w:rsid w:val="003F362C"/>
    <w:rsid w:val="003F678E"/>
    <w:rsid w:val="004012F8"/>
    <w:rsid w:val="004214C1"/>
    <w:rsid w:val="00421F17"/>
    <w:rsid w:val="00424DD2"/>
    <w:rsid w:val="0043106B"/>
    <w:rsid w:val="00437D7B"/>
    <w:rsid w:val="00464855"/>
    <w:rsid w:val="00473EE7"/>
    <w:rsid w:val="00485A65"/>
    <w:rsid w:val="00486735"/>
    <w:rsid w:val="004929AF"/>
    <w:rsid w:val="00497C76"/>
    <w:rsid w:val="004A3180"/>
    <w:rsid w:val="004A39DF"/>
    <w:rsid w:val="005029B9"/>
    <w:rsid w:val="0051004F"/>
    <w:rsid w:val="0051182D"/>
    <w:rsid w:val="00521988"/>
    <w:rsid w:val="005236AD"/>
    <w:rsid w:val="0054446B"/>
    <w:rsid w:val="00565228"/>
    <w:rsid w:val="005723C1"/>
    <w:rsid w:val="005A04BD"/>
    <w:rsid w:val="005A66D2"/>
    <w:rsid w:val="005B36FA"/>
    <w:rsid w:val="005C4AEF"/>
    <w:rsid w:val="005E0FEF"/>
    <w:rsid w:val="005E347D"/>
    <w:rsid w:val="00604022"/>
    <w:rsid w:val="006171FE"/>
    <w:rsid w:val="006233D0"/>
    <w:rsid w:val="00642AAB"/>
    <w:rsid w:val="00647854"/>
    <w:rsid w:val="00653C5B"/>
    <w:rsid w:val="00663FA4"/>
    <w:rsid w:val="006652E4"/>
    <w:rsid w:val="006A45C8"/>
    <w:rsid w:val="006B5733"/>
    <w:rsid w:val="006C5AF0"/>
    <w:rsid w:val="006F5665"/>
    <w:rsid w:val="006F5841"/>
    <w:rsid w:val="006F7C05"/>
    <w:rsid w:val="00712329"/>
    <w:rsid w:val="00714DE6"/>
    <w:rsid w:val="007315C5"/>
    <w:rsid w:val="00743DCB"/>
    <w:rsid w:val="00744407"/>
    <w:rsid w:val="0075561F"/>
    <w:rsid w:val="00761BD6"/>
    <w:rsid w:val="007736C5"/>
    <w:rsid w:val="0078557B"/>
    <w:rsid w:val="00785899"/>
    <w:rsid w:val="00785FB8"/>
    <w:rsid w:val="0078761A"/>
    <w:rsid w:val="007A15A5"/>
    <w:rsid w:val="007B2830"/>
    <w:rsid w:val="007C60DF"/>
    <w:rsid w:val="007D3BEA"/>
    <w:rsid w:val="007E05E7"/>
    <w:rsid w:val="007E3B6B"/>
    <w:rsid w:val="008023C4"/>
    <w:rsid w:val="00811524"/>
    <w:rsid w:val="00817406"/>
    <w:rsid w:val="008218E5"/>
    <w:rsid w:val="00843A0D"/>
    <w:rsid w:val="008546A2"/>
    <w:rsid w:val="00864CBD"/>
    <w:rsid w:val="00876487"/>
    <w:rsid w:val="00882E3C"/>
    <w:rsid w:val="00886EA9"/>
    <w:rsid w:val="008A397E"/>
    <w:rsid w:val="008A4066"/>
    <w:rsid w:val="008D059A"/>
    <w:rsid w:val="008E1E0C"/>
    <w:rsid w:val="009006DD"/>
    <w:rsid w:val="009164A9"/>
    <w:rsid w:val="009212DA"/>
    <w:rsid w:val="00933B02"/>
    <w:rsid w:val="009379B7"/>
    <w:rsid w:val="00951CB0"/>
    <w:rsid w:val="00963847"/>
    <w:rsid w:val="00965E30"/>
    <w:rsid w:val="00966B3D"/>
    <w:rsid w:val="00971D0B"/>
    <w:rsid w:val="00984A90"/>
    <w:rsid w:val="009904AF"/>
    <w:rsid w:val="009A0FCD"/>
    <w:rsid w:val="009B0B64"/>
    <w:rsid w:val="009E471B"/>
    <w:rsid w:val="009F7C24"/>
    <w:rsid w:val="00A027C7"/>
    <w:rsid w:val="00A04542"/>
    <w:rsid w:val="00A11141"/>
    <w:rsid w:val="00A1386E"/>
    <w:rsid w:val="00A15695"/>
    <w:rsid w:val="00A45715"/>
    <w:rsid w:val="00A501C0"/>
    <w:rsid w:val="00A625BC"/>
    <w:rsid w:val="00A64CF3"/>
    <w:rsid w:val="00A85FB1"/>
    <w:rsid w:val="00AB1F5F"/>
    <w:rsid w:val="00AB21D4"/>
    <w:rsid w:val="00AB37A3"/>
    <w:rsid w:val="00AC7E80"/>
    <w:rsid w:val="00AE3BE0"/>
    <w:rsid w:val="00AE59C8"/>
    <w:rsid w:val="00AE7534"/>
    <w:rsid w:val="00AF381F"/>
    <w:rsid w:val="00B22527"/>
    <w:rsid w:val="00B23339"/>
    <w:rsid w:val="00B32BC9"/>
    <w:rsid w:val="00B633D9"/>
    <w:rsid w:val="00B6714A"/>
    <w:rsid w:val="00B80B72"/>
    <w:rsid w:val="00B964EE"/>
    <w:rsid w:val="00BB397A"/>
    <w:rsid w:val="00BB4DBE"/>
    <w:rsid w:val="00BB729E"/>
    <w:rsid w:val="00BC21BC"/>
    <w:rsid w:val="00BC71BC"/>
    <w:rsid w:val="00BD6DF0"/>
    <w:rsid w:val="00BE49E5"/>
    <w:rsid w:val="00BE7338"/>
    <w:rsid w:val="00BF31D8"/>
    <w:rsid w:val="00C013BC"/>
    <w:rsid w:val="00C06704"/>
    <w:rsid w:val="00C171B9"/>
    <w:rsid w:val="00C245E7"/>
    <w:rsid w:val="00C34F23"/>
    <w:rsid w:val="00C37EFA"/>
    <w:rsid w:val="00C52A52"/>
    <w:rsid w:val="00C54D2B"/>
    <w:rsid w:val="00C5726C"/>
    <w:rsid w:val="00C62C1E"/>
    <w:rsid w:val="00C73731"/>
    <w:rsid w:val="00C8140E"/>
    <w:rsid w:val="00CA1D80"/>
    <w:rsid w:val="00CA25C2"/>
    <w:rsid w:val="00CB124A"/>
    <w:rsid w:val="00CB48DE"/>
    <w:rsid w:val="00CC17DE"/>
    <w:rsid w:val="00D03EC7"/>
    <w:rsid w:val="00D04C70"/>
    <w:rsid w:val="00D253F7"/>
    <w:rsid w:val="00D3228A"/>
    <w:rsid w:val="00D51101"/>
    <w:rsid w:val="00D57111"/>
    <w:rsid w:val="00D678B1"/>
    <w:rsid w:val="00D770B8"/>
    <w:rsid w:val="00D81806"/>
    <w:rsid w:val="00D8628B"/>
    <w:rsid w:val="00D92086"/>
    <w:rsid w:val="00DB566F"/>
    <w:rsid w:val="00DB7E48"/>
    <w:rsid w:val="00DC1E98"/>
    <w:rsid w:val="00DC6C1B"/>
    <w:rsid w:val="00DE272A"/>
    <w:rsid w:val="00DE57E7"/>
    <w:rsid w:val="00DF098F"/>
    <w:rsid w:val="00DF47C7"/>
    <w:rsid w:val="00E043E6"/>
    <w:rsid w:val="00E06820"/>
    <w:rsid w:val="00E16A73"/>
    <w:rsid w:val="00E30A6B"/>
    <w:rsid w:val="00E31A20"/>
    <w:rsid w:val="00E54622"/>
    <w:rsid w:val="00E600E6"/>
    <w:rsid w:val="00E60F74"/>
    <w:rsid w:val="00E70A3A"/>
    <w:rsid w:val="00E73AB8"/>
    <w:rsid w:val="00E91A79"/>
    <w:rsid w:val="00EA56AF"/>
    <w:rsid w:val="00EB1E85"/>
    <w:rsid w:val="00EB4D6B"/>
    <w:rsid w:val="00EC524B"/>
    <w:rsid w:val="00EE2B72"/>
    <w:rsid w:val="00EE7EEC"/>
    <w:rsid w:val="00EF59B9"/>
    <w:rsid w:val="00F0501E"/>
    <w:rsid w:val="00F26245"/>
    <w:rsid w:val="00F26FDB"/>
    <w:rsid w:val="00F27B07"/>
    <w:rsid w:val="00F31B4C"/>
    <w:rsid w:val="00F33A60"/>
    <w:rsid w:val="00F43E35"/>
    <w:rsid w:val="00F5053B"/>
    <w:rsid w:val="00F70612"/>
    <w:rsid w:val="00F82852"/>
    <w:rsid w:val="00F91AAA"/>
    <w:rsid w:val="00F939C4"/>
    <w:rsid w:val="00FA5DB4"/>
    <w:rsid w:val="00FB2265"/>
    <w:rsid w:val="00FC65A7"/>
    <w:rsid w:val="00FD1F50"/>
    <w:rsid w:val="00FE02E0"/>
    <w:rsid w:val="00FE1812"/>
    <w:rsid w:val="00FE5D4C"/>
    <w:rsid w:val="00FF0FCE"/>
    <w:rsid w:val="00FF19B7"/>
    <w:rsid w:val="00FF7B48"/>
    <w:rsid w:val="01583748"/>
    <w:rsid w:val="01DD6F82"/>
    <w:rsid w:val="02661E94"/>
    <w:rsid w:val="049251C3"/>
    <w:rsid w:val="059E36F3"/>
    <w:rsid w:val="073562D9"/>
    <w:rsid w:val="08D06C36"/>
    <w:rsid w:val="0A7361CD"/>
    <w:rsid w:val="0AB17A25"/>
    <w:rsid w:val="0D9832FA"/>
    <w:rsid w:val="13D627AE"/>
    <w:rsid w:val="13E810D4"/>
    <w:rsid w:val="1E392021"/>
    <w:rsid w:val="208E5D5E"/>
    <w:rsid w:val="22A068A5"/>
    <w:rsid w:val="25D02FFD"/>
    <w:rsid w:val="2A765170"/>
    <w:rsid w:val="2CA56DEB"/>
    <w:rsid w:val="31AC1838"/>
    <w:rsid w:val="33F219F4"/>
    <w:rsid w:val="37F70D20"/>
    <w:rsid w:val="3F1D32FF"/>
    <w:rsid w:val="3FBD063E"/>
    <w:rsid w:val="43252782"/>
    <w:rsid w:val="45897AC1"/>
    <w:rsid w:val="53620E89"/>
    <w:rsid w:val="586C121F"/>
    <w:rsid w:val="58D11DAF"/>
    <w:rsid w:val="5CCD5CD0"/>
    <w:rsid w:val="602C2F4B"/>
    <w:rsid w:val="630D1A1B"/>
    <w:rsid w:val="6AE461D0"/>
    <w:rsid w:val="6E356579"/>
    <w:rsid w:val="6E8C6FEC"/>
    <w:rsid w:val="72064D9E"/>
    <w:rsid w:val="74522C43"/>
    <w:rsid w:val="76F105F2"/>
    <w:rsid w:val="774438E7"/>
    <w:rsid w:val="7A37631C"/>
    <w:rsid w:val="7AF34939"/>
    <w:rsid w:val="7B18678A"/>
    <w:rsid w:val="7B4E7DC1"/>
    <w:rsid w:val="7D11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9"/>
    <w:unhideWhenUsed/>
    <w:qFormat/>
    <w:uiPriority w:val="99"/>
    <w:pPr>
      <w:jc w:val="left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8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</w:r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annotation subject"/>
    <w:basedOn w:val="6"/>
    <w:next w:val="6"/>
    <w:link w:val="30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customStyle="1" w:styleId="19">
    <w:name w:val="页眉 字符"/>
    <w:basedOn w:val="16"/>
    <w:link w:val="10"/>
    <w:qFormat/>
    <w:uiPriority w:val="99"/>
    <w:rPr>
      <w:sz w:val="18"/>
      <w:szCs w:val="18"/>
    </w:rPr>
  </w:style>
  <w:style w:type="character" w:customStyle="1" w:styleId="20">
    <w:name w:val="页脚 字符"/>
    <w:basedOn w:val="16"/>
    <w:link w:val="9"/>
    <w:qFormat/>
    <w:uiPriority w:val="99"/>
    <w:rPr>
      <w:sz w:val="18"/>
      <w:szCs w:val="18"/>
    </w:rPr>
  </w:style>
  <w:style w:type="character" w:customStyle="1" w:styleId="21">
    <w:name w:val="text-only"/>
    <w:basedOn w:val="16"/>
    <w:qFormat/>
    <w:uiPriority w:val="0"/>
  </w:style>
  <w:style w:type="paragraph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批注框文本 字符"/>
    <w:basedOn w:val="16"/>
    <w:link w:val="8"/>
    <w:semiHidden/>
    <w:qFormat/>
    <w:uiPriority w:val="99"/>
    <w:rPr>
      <w:sz w:val="18"/>
      <w:szCs w:val="18"/>
    </w:rPr>
  </w:style>
  <w:style w:type="character" w:customStyle="1" w:styleId="24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6"/>
    <w:link w:val="4"/>
    <w:qFormat/>
    <w:uiPriority w:val="9"/>
    <w:rPr>
      <w:b/>
      <w:bCs/>
      <w:sz w:val="32"/>
      <w:szCs w:val="32"/>
    </w:rPr>
  </w:style>
  <w:style w:type="character" w:customStyle="1" w:styleId="26">
    <w:name w:val="标题 4 字符"/>
    <w:basedOn w:val="1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7">
    <w:name w:val="标题 1 字符"/>
    <w:basedOn w:val="16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8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9">
    <w:name w:val="批注文字 字符"/>
    <w:basedOn w:val="16"/>
    <w:link w:val="6"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30">
    <w:name w:val="批注主题 字符"/>
    <w:basedOn w:val="29"/>
    <w:link w:val="13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styleId="31">
    <w:name w:val="Placeholder Text"/>
    <w:basedOn w:val="16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6AECD-0EB0-4B15-B851-16A57892CF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14</Pages>
  <Words>1855</Words>
  <Characters>2745</Characters>
  <Lines>30</Lines>
  <Paragraphs>8</Paragraphs>
  <TotalTime>130</TotalTime>
  <ScaleCrop>false</ScaleCrop>
  <LinksUpToDate>false</LinksUpToDate>
  <CharactersWithSpaces>2763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2024-08-08T06:55:00Z</dcterms:created>
  <dc:creator>Microsoft</dc:creator>
  <cp:lastModifiedBy>Ewedihaleho</cp:lastModifiedBy>
  <dcterms:modified xsi:type="dcterms:W3CDTF">2025-08-15T02:56:54Z</dcterms:modified>
  <cp:revision>267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ICV">
    <vt:lpwstr>18CFCF18A4864DE5849E7E185EA43539_13</vt:lpwstr>
  </property>
  <property fmtid="{D5CDD505-2E9C-101B-9397-08002B2CF9AE}" pid="4" name="KSOTemplateDocerSaveRecord">
    <vt:lpwstr>eyJoZGlkIjoiZWUzNDBmYjAwMjk3ZWUwZGFjOTI1ZGE2ODgyM2VmODQiLCJ1c2VySWQiOiIxMDQ1ODA4OTA5In0=</vt:lpwstr>
  </property>
</Properties>
</file>