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4479088">
      <w:pPr>
        <w:spacing w:line="360" w:lineRule="auto"/>
        <w:jc w:val="both"/>
        <w:outlineLvl w:val="0"/>
        <w:rPr>
          <w:rFonts w:cs="宋体" w:asciiTheme="minorEastAsia" w:hAnsiTheme="minorEastAsia"/>
          <w:snapToGrid w:val="0"/>
          <w:color w:val="000000"/>
          <w:spacing w:val="4"/>
          <w:kern w:val="0"/>
          <w:sz w:val="35"/>
          <w:szCs w:val="35"/>
          <w14:textOutline w14:w="6540" w14:cap="sq" w14:cmpd="sng" w14:algn="ctr">
            <w14:solidFill>
              <w14:srgbClr w14:val="000000"/>
            </w14:solidFill>
            <w14:prstDash w14:val="solid"/>
            <w14:bevel/>
          </w14:textOutline>
        </w:rPr>
      </w:pPr>
      <w:bookmarkStart w:id="0" w:name="_Toc32413"/>
      <w:bookmarkStart w:id="1" w:name="_Toc31086"/>
      <w:bookmarkStart w:id="2" w:name="_Toc6097"/>
      <w:bookmarkStart w:id="3" w:name="_Toc142640251"/>
      <w:r>
        <w:rPr>
          <w:rFonts w:hint="eastAsia" w:cs="宋体" w:asciiTheme="minorEastAsia" w:hAnsiTheme="minorEastAsia"/>
          <w:snapToGrid w:val="0"/>
          <w:color w:val="000000"/>
          <w:spacing w:val="4"/>
          <w:kern w:val="0"/>
          <w:sz w:val="35"/>
          <w:szCs w:val="35"/>
          <w:lang w:val="en-US" w:eastAsia="zh-CN"/>
          <w14:textOutline w14:w="6540" w14:cap="sq" w14:cmpd="sng" w14:algn="ctr">
            <w14:solidFill>
              <w14:srgbClr w14:val="000000"/>
            </w14:solidFill>
            <w14:prstDash w14:val="solid"/>
            <w14:bevel/>
          </w14:textOutline>
        </w:rPr>
        <w:t>一</w:t>
      </w:r>
      <w:r>
        <w:rPr>
          <w:rFonts w:hint="eastAsia" w:cs="宋体" w:asciiTheme="minorEastAsia" w:hAnsiTheme="minorEastAsia"/>
          <w:snapToGrid w:val="0"/>
          <w:color w:val="000000"/>
          <w:spacing w:val="4"/>
          <w:kern w:val="0"/>
          <w:sz w:val="35"/>
          <w:szCs w:val="35"/>
          <w14:textOutline w14:w="6540" w14:cap="sq" w14:cmpd="sng" w14:algn="ctr">
            <w14:solidFill>
              <w14:srgbClr w14:val="000000"/>
            </w14:solidFill>
            <w14:prstDash w14:val="solid"/>
            <w14:bevel/>
          </w14:textOutline>
        </w:rPr>
        <w:t>、开户相关问题</w:t>
      </w:r>
      <w:bookmarkEnd w:id="0"/>
      <w:bookmarkEnd w:id="1"/>
      <w:bookmarkEnd w:id="2"/>
      <w:bookmarkEnd w:id="3"/>
    </w:p>
    <w:p w14:paraId="506109CB">
      <w:pPr>
        <w:pStyle w:val="22"/>
        <w:numPr>
          <w:ilvl w:val="0"/>
          <w:numId w:val="1"/>
        </w:numPr>
        <w:spacing w:line="360" w:lineRule="auto"/>
        <w:ind w:firstLineChars="0"/>
        <w:outlineLvl w:val="0"/>
        <w:rPr>
          <w:rFonts w:cs="宋体" w:asciiTheme="minorEastAsia" w:hAnsiTheme="minorEastAsia"/>
          <w:b/>
          <w:snapToGrid w:val="0"/>
          <w:color w:val="000000"/>
          <w:spacing w:val="-4"/>
          <w:kern w:val="0"/>
          <w:sz w:val="28"/>
          <w:szCs w:val="28"/>
          <w:lang w:eastAsia="en-US"/>
        </w:rPr>
      </w:pPr>
      <w:bookmarkStart w:id="4" w:name="_Toc17385"/>
      <w:bookmarkStart w:id="5" w:name="_Toc142640252"/>
      <w:bookmarkStart w:id="6" w:name="_Toc24172"/>
      <w:bookmarkStart w:id="7" w:name="_Toc19547"/>
      <w:r>
        <w:rPr>
          <w:rFonts w:hint="eastAsia" w:cs="宋体" w:asciiTheme="minorEastAsia" w:hAnsiTheme="minorEastAsia"/>
          <w:b/>
          <w:snapToGrid w:val="0"/>
          <w:color w:val="000000"/>
          <w:spacing w:val="-4"/>
          <w:kern w:val="0"/>
          <w:sz w:val="28"/>
          <w:szCs w:val="28"/>
        </w:rPr>
        <w:t>开户的条件和时间</w:t>
      </w:r>
      <w:bookmarkEnd w:id="4"/>
      <w:bookmarkEnd w:id="5"/>
      <w:bookmarkEnd w:id="6"/>
      <w:bookmarkEnd w:id="7"/>
    </w:p>
    <w:p w14:paraId="5E830702">
      <w:pPr>
        <w:pStyle w:val="6"/>
        <w:spacing w:before="91" w:line="360" w:lineRule="auto"/>
        <w:ind w:right="13"/>
        <w:rPr>
          <w:rFonts w:asciiTheme="minorEastAsia" w:hAnsiTheme="minorEastAsia" w:eastAsiaTheme="minorEastAsia"/>
          <w:spacing w:val="-4"/>
        </w:rPr>
      </w:pPr>
      <w:r>
        <w:rPr>
          <w:rFonts w:asciiTheme="minorEastAsia" w:hAnsiTheme="minorEastAsia" w:eastAsiaTheme="minorEastAsia"/>
          <w:spacing w:val="-4"/>
        </w:rPr>
        <w:t>普通商品期货开户需年满十八周岁且具有完全独立民事行为能力的中国公民携带本人有效二代身份证原件及本人银行卡（一类借记卡）或银行卡照片在交易日8:40—17:</w:t>
      </w:r>
      <w:r>
        <w:rPr>
          <w:rFonts w:hint="eastAsia" w:asciiTheme="minorEastAsia" w:hAnsiTheme="minorEastAsia" w:eastAsiaTheme="minorEastAsia"/>
          <w:spacing w:val="-4"/>
        </w:rPr>
        <w:t>00</w:t>
      </w:r>
      <w:r>
        <w:rPr>
          <w:rFonts w:asciiTheme="minorEastAsia" w:hAnsiTheme="minorEastAsia" w:eastAsiaTheme="minorEastAsia"/>
          <w:spacing w:val="-4"/>
        </w:rPr>
        <w:t>之间，通过登录</w:t>
      </w:r>
      <w:r>
        <w:rPr>
          <w:rFonts w:hint="eastAsia" w:asciiTheme="minorEastAsia" w:hAnsiTheme="minorEastAsia" w:eastAsiaTheme="minorEastAsia"/>
          <w:spacing w:val="-4"/>
        </w:rPr>
        <w:t>通惠</w:t>
      </w:r>
      <w:r>
        <w:rPr>
          <w:rFonts w:asciiTheme="minorEastAsia" w:hAnsiTheme="minorEastAsia" w:eastAsiaTheme="minorEastAsia"/>
          <w:spacing w:val="-4"/>
        </w:rPr>
        <w:t>期货手机app进行开户。</w:t>
      </w:r>
    </w:p>
    <w:p w14:paraId="122C6ED3">
      <w:pPr>
        <w:pStyle w:val="22"/>
        <w:numPr>
          <w:ilvl w:val="0"/>
          <w:numId w:val="1"/>
        </w:numPr>
        <w:spacing w:line="360" w:lineRule="auto"/>
        <w:ind w:firstLineChars="0"/>
        <w:outlineLvl w:val="0"/>
        <w:rPr>
          <w:rFonts w:cs="宋体" w:asciiTheme="minorEastAsia" w:hAnsiTheme="minorEastAsia"/>
          <w:b/>
          <w:snapToGrid w:val="0"/>
          <w:color w:val="000000"/>
          <w:spacing w:val="-4"/>
          <w:kern w:val="0"/>
          <w:sz w:val="28"/>
          <w:szCs w:val="28"/>
        </w:rPr>
      </w:pPr>
      <w:bookmarkStart w:id="8" w:name="_Toc21185"/>
      <w:bookmarkStart w:id="9" w:name="_Toc142640253"/>
      <w:bookmarkStart w:id="10" w:name="_Toc9864"/>
      <w:bookmarkStart w:id="11" w:name="_Toc1329"/>
      <w:r>
        <w:rPr>
          <w:rFonts w:hint="eastAsia" w:cs="宋体" w:asciiTheme="minorEastAsia" w:hAnsiTheme="minorEastAsia"/>
          <w:b/>
          <w:snapToGrid w:val="0"/>
          <w:color w:val="000000"/>
          <w:spacing w:val="-4"/>
          <w:kern w:val="0"/>
          <w:sz w:val="28"/>
          <w:szCs w:val="28"/>
          <w:lang w:eastAsia="en-US"/>
        </w:rPr>
        <w:t>开户有资金门槛吗</w:t>
      </w:r>
      <w:bookmarkEnd w:id="8"/>
      <w:bookmarkEnd w:id="9"/>
      <w:bookmarkEnd w:id="10"/>
      <w:bookmarkEnd w:id="11"/>
    </w:p>
    <w:p w14:paraId="0F39E135">
      <w:pPr>
        <w:pStyle w:val="6"/>
        <w:spacing w:before="91" w:line="360" w:lineRule="auto"/>
        <w:ind w:right="13"/>
        <w:rPr>
          <w:rFonts w:asciiTheme="minorEastAsia" w:hAnsiTheme="minorEastAsia" w:eastAsiaTheme="minorEastAsia"/>
          <w:spacing w:val="-4"/>
        </w:rPr>
      </w:pPr>
      <w:r>
        <w:rPr>
          <w:rFonts w:asciiTheme="minorEastAsia" w:hAnsiTheme="minorEastAsia" w:eastAsiaTheme="minorEastAsia"/>
          <w:spacing w:val="-4"/>
        </w:rPr>
        <w:t>商品期货开户无资金门槛，开通期货特殊交易权限或涉及一定</w:t>
      </w:r>
    </w:p>
    <w:p w14:paraId="5001616B">
      <w:pPr>
        <w:pStyle w:val="6"/>
        <w:spacing w:before="91" w:line="360" w:lineRule="auto"/>
        <w:ind w:right="13"/>
        <w:rPr>
          <w:rFonts w:asciiTheme="minorEastAsia" w:hAnsiTheme="minorEastAsia" w:eastAsiaTheme="minorEastAsia"/>
          <w:spacing w:val="-4"/>
        </w:rPr>
      </w:pPr>
      <w:r>
        <w:rPr>
          <w:rFonts w:asciiTheme="minorEastAsia" w:hAnsiTheme="minorEastAsia" w:eastAsiaTheme="minorEastAsia"/>
          <w:spacing w:val="-4"/>
        </w:rPr>
        <w:t>资金门槛要求。</w:t>
      </w:r>
    </w:p>
    <w:p w14:paraId="321076AD">
      <w:pPr>
        <w:pStyle w:val="22"/>
        <w:numPr>
          <w:ilvl w:val="0"/>
          <w:numId w:val="1"/>
        </w:numPr>
        <w:spacing w:line="360" w:lineRule="auto"/>
        <w:ind w:firstLineChars="0"/>
        <w:outlineLvl w:val="0"/>
        <w:rPr>
          <w:rFonts w:cs="宋体" w:asciiTheme="minorEastAsia" w:hAnsiTheme="minorEastAsia"/>
          <w:b/>
          <w:snapToGrid w:val="0"/>
          <w:color w:val="000000"/>
          <w:spacing w:val="-4"/>
          <w:kern w:val="0"/>
          <w:sz w:val="28"/>
          <w:szCs w:val="28"/>
        </w:rPr>
      </w:pPr>
      <w:bookmarkStart w:id="12" w:name="_Toc5469"/>
      <w:bookmarkStart w:id="13" w:name="_Toc142640254"/>
      <w:bookmarkStart w:id="14" w:name="_Toc16219"/>
      <w:bookmarkStart w:id="15" w:name="_Toc4889"/>
      <w:r>
        <w:rPr>
          <w:rFonts w:hint="eastAsia" w:cs="宋体" w:asciiTheme="minorEastAsia" w:hAnsiTheme="minorEastAsia"/>
          <w:b/>
          <w:snapToGrid w:val="0"/>
          <w:color w:val="000000"/>
          <w:spacing w:val="-4"/>
          <w:kern w:val="0"/>
          <w:sz w:val="28"/>
          <w:szCs w:val="28"/>
        </w:rPr>
        <w:t>可以开多个期货账户吗</w:t>
      </w:r>
      <w:bookmarkEnd w:id="12"/>
      <w:bookmarkEnd w:id="13"/>
      <w:bookmarkEnd w:id="14"/>
      <w:bookmarkEnd w:id="15"/>
    </w:p>
    <w:p w14:paraId="7AD39129">
      <w:pPr>
        <w:pStyle w:val="6"/>
        <w:spacing w:before="291" w:line="360" w:lineRule="auto"/>
        <w:ind w:right="13"/>
        <w:rPr>
          <w:rFonts w:asciiTheme="minorEastAsia" w:hAnsiTheme="minorEastAsia" w:eastAsiaTheme="minorEastAsia"/>
          <w:spacing w:val="-4"/>
        </w:rPr>
      </w:pPr>
      <w:r>
        <w:rPr>
          <w:rFonts w:asciiTheme="minorEastAsia" w:hAnsiTheme="minorEastAsia" w:eastAsiaTheme="minorEastAsia"/>
          <w:spacing w:val="-4"/>
        </w:rPr>
        <w:t>投资者于期货市场开户不受数量限制，但在同一期货公司只可</w:t>
      </w:r>
    </w:p>
    <w:p w14:paraId="189CA5CE">
      <w:pPr>
        <w:pStyle w:val="6"/>
        <w:spacing w:before="1" w:line="360" w:lineRule="auto"/>
        <w:ind w:left="26"/>
        <w:rPr>
          <w:rFonts w:asciiTheme="minorEastAsia" w:hAnsiTheme="minorEastAsia" w:eastAsiaTheme="minorEastAsia"/>
          <w:spacing w:val="-4"/>
        </w:rPr>
      </w:pPr>
      <w:r>
        <w:rPr>
          <w:rFonts w:asciiTheme="minorEastAsia" w:hAnsiTheme="minorEastAsia" w:eastAsiaTheme="minorEastAsia"/>
          <w:spacing w:val="-4"/>
        </w:rPr>
        <w:t>开立一个期货账户</w:t>
      </w:r>
    </w:p>
    <w:p w14:paraId="6BFA8DCF">
      <w:pPr>
        <w:pStyle w:val="22"/>
        <w:numPr>
          <w:ilvl w:val="0"/>
          <w:numId w:val="1"/>
        </w:numPr>
        <w:spacing w:line="360" w:lineRule="auto"/>
        <w:ind w:firstLineChars="0"/>
        <w:outlineLvl w:val="0"/>
        <w:rPr>
          <w:rFonts w:cs="宋体" w:asciiTheme="minorEastAsia" w:hAnsiTheme="minorEastAsia"/>
          <w:b/>
          <w:snapToGrid w:val="0"/>
          <w:color w:val="000000"/>
          <w:spacing w:val="-4"/>
          <w:kern w:val="0"/>
          <w:sz w:val="28"/>
          <w:szCs w:val="28"/>
        </w:rPr>
      </w:pPr>
      <w:bookmarkStart w:id="16" w:name="_Toc29865"/>
      <w:bookmarkStart w:id="17" w:name="_Toc7701"/>
      <w:bookmarkStart w:id="18" w:name="_Toc13900"/>
      <w:bookmarkStart w:id="19" w:name="_Toc142640255"/>
      <w:r>
        <w:rPr>
          <w:rFonts w:hint="eastAsia" w:cs="宋体" w:asciiTheme="minorEastAsia" w:hAnsiTheme="minorEastAsia"/>
          <w:b/>
          <w:snapToGrid w:val="0"/>
          <w:color w:val="000000"/>
          <w:spacing w:val="-4"/>
          <w:kern w:val="0"/>
          <w:sz w:val="28"/>
          <w:szCs w:val="28"/>
        </w:rPr>
        <w:t>境外人员可以开户吗</w:t>
      </w:r>
      <w:bookmarkEnd w:id="16"/>
      <w:bookmarkEnd w:id="17"/>
      <w:bookmarkEnd w:id="18"/>
      <w:bookmarkEnd w:id="19"/>
    </w:p>
    <w:p w14:paraId="1E16D6FC">
      <w:pPr>
        <w:pStyle w:val="6"/>
        <w:spacing w:before="91" w:line="360" w:lineRule="auto"/>
        <w:rPr>
          <w:rFonts w:asciiTheme="minorEastAsia" w:hAnsiTheme="minorEastAsia" w:eastAsiaTheme="minorEastAsia"/>
          <w:b/>
          <w:spacing w:val="-4"/>
        </w:rPr>
      </w:pPr>
      <w:r>
        <w:rPr>
          <w:rFonts w:asciiTheme="minorEastAsia" w:hAnsiTheme="minorEastAsia" w:eastAsiaTheme="minorEastAsia"/>
          <w:spacing w:val="-4"/>
        </w:rPr>
        <w:t>我司暂不支持办理港澳台及境外人士期货开户业务。</w:t>
      </w:r>
    </w:p>
    <w:p w14:paraId="2B43E475">
      <w:pPr>
        <w:pStyle w:val="22"/>
        <w:numPr>
          <w:ilvl w:val="0"/>
          <w:numId w:val="1"/>
        </w:numPr>
        <w:spacing w:line="360" w:lineRule="auto"/>
        <w:ind w:firstLineChars="0"/>
        <w:outlineLvl w:val="0"/>
        <w:rPr>
          <w:rFonts w:cs="宋体" w:asciiTheme="minorEastAsia" w:hAnsiTheme="minorEastAsia"/>
          <w:b/>
          <w:snapToGrid w:val="0"/>
          <w:color w:val="000000"/>
          <w:spacing w:val="-4"/>
          <w:kern w:val="0"/>
          <w:sz w:val="28"/>
          <w:szCs w:val="28"/>
        </w:rPr>
      </w:pPr>
      <w:bookmarkStart w:id="20" w:name="_Toc23670"/>
      <w:bookmarkStart w:id="21" w:name="_Toc14434"/>
      <w:bookmarkStart w:id="22" w:name="_Toc142640256"/>
      <w:bookmarkStart w:id="23" w:name="_Toc17123"/>
      <w:r>
        <w:rPr>
          <w:rFonts w:hint="eastAsia" w:cs="宋体" w:asciiTheme="minorEastAsia" w:hAnsiTheme="minorEastAsia"/>
          <w:b/>
          <w:snapToGrid w:val="0"/>
          <w:color w:val="000000"/>
          <w:spacing w:val="-4"/>
          <w:kern w:val="0"/>
          <w:sz w:val="28"/>
          <w:szCs w:val="28"/>
        </w:rPr>
        <w:t>开户收不到验证码是什么原因如何处理</w:t>
      </w:r>
      <w:bookmarkEnd w:id="20"/>
      <w:bookmarkEnd w:id="21"/>
      <w:bookmarkEnd w:id="22"/>
      <w:bookmarkEnd w:id="23"/>
    </w:p>
    <w:p w14:paraId="7DC5634A">
      <w:pPr>
        <w:pStyle w:val="6"/>
        <w:spacing w:before="292" w:line="360" w:lineRule="auto"/>
        <w:ind w:left="23" w:right="13"/>
        <w:rPr>
          <w:rFonts w:asciiTheme="minorEastAsia" w:hAnsiTheme="minorEastAsia" w:eastAsiaTheme="minorEastAsia"/>
          <w:spacing w:val="-4"/>
        </w:rPr>
      </w:pPr>
      <w:r>
        <w:rPr>
          <w:rFonts w:asciiTheme="minorEastAsia" w:hAnsiTheme="minorEastAsia" w:eastAsiaTheme="minorEastAsia"/>
          <w:spacing w:val="-4"/>
        </w:rPr>
        <w:t>接收不到验证码通常可建议客户尝试换到信号通畅的地方（室外、窗边等）再次尝试。同时，手机系统拦截、屏蔽也可能造成无法接收验证码</w:t>
      </w:r>
      <w:r>
        <w:rPr>
          <w:rFonts w:hint="eastAsia" w:asciiTheme="minorEastAsia" w:hAnsiTheme="minorEastAsia" w:eastAsiaTheme="minorEastAsia"/>
          <w:spacing w:val="-4"/>
        </w:rPr>
        <w:t>。</w:t>
      </w:r>
    </w:p>
    <w:p w14:paraId="6ECD3F4A">
      <w:pPr>
        <w:pStyle w:val="22"/>
        <w:numPr>
          <w:ilvl w:val="0"/>
          <w:numId w:val="1"/>
        </w:numPr>
        <w:spacing w:line="360" w:lineRule="auto"/>
        <w:ind w:firstLineChars="0"/>
        <w:outlineLvl w:val="0"/>
        <w:rPr>
          <w:rFonts w:cs="宋体" w:asciiTheme="minorEastAsia" w:hAnsiTheme="minorEastAsia"/>
          <w:b/>
          <w:snapToGrid w:val="0"/>
          <w:color w:val="000000"/>
          <w:spacing w:val="-4"/>
          <w:kern w:val="0"/>
          <w:sz w:val="28"/>
          <w:szCs w:val="28"/>
        </w:rPr>
      </w:pPr>
      <w:bookmarkStart w:id="24" w:name="_Toc22887"/>
      <w:bookmarkStart w:id="25" w:name="_Toc142640257"/>
      <w:bookmarkStart w:id="26" w:name="_Toc31013"/>
      <w:bookmarkStart w:id="27" w:name="_Toc25552"/>
      <w:r>
        <w:rPr>
          <w:rFonts w:hint="eastAsia" w:cs="宋体" w:asciiTheme="minorEastAsia" w:hAnsiTheme="minorEastAsia"/>
          <w:b/>
          <w:snapToGrid w:val="0"/>
          <w:color w:val="000000"/>
          <w:spacing w:val="-4"/>
          <w:kern w:val="0"/>
          <w:sz w:val="28"/>
          <w:szCs w:val="28"/>
        </w:rPr>
        <w:t>开户时上传身份证、签名照不通过要求是</w:t>
      </w:r>
      <w:bookmarkEnd w:id="24"/>
      <w:bookmarkEnd w:id="25"/>
      <w:bookmarkEnd w:id="26"/>
      <w:bookmarkEnd w:id="27"/>
    </w:p>
    <w:p w14:paraId="0065CDF9">
      <w:pPr>
        <w:pStyle w:val="6"/>
        <w:spacing w:before="92" w:line="360" w:lineRule="auto"/>
        <w:ind w:left="23" w:right="13"/>
        <w:rPr>
          <w:rFonts w:asciiTheme="minorEastAsia" w:hAnsiTheme="minorEastAsia" w:eastAsiaTheme="minorEastAsia"/>
          <w:spacing w:val="-4"/>
        </w:rPr>
      </w:pPr>
      <w:r>
        <w:rPr>
          <w:rFonts w:asciiTheme="minorEastAsia" w:hAnsiTheme="minorEastAsia" w:eastAsiaTheme="minorEastAsia"/>
          <w:spacing w:val="-4"/>
        </w:rPr>
        <w:t>开户需上传本人有效二代身份证正反面照片（JPG格式），保证证件照片图像字迹清晰完整可识别、无遮挡、四边四角齐全、无光斑及光点。签名照为本人常用笔迹签名照片，要求使用蓝色或者黑色钢笔、中性水笔或圆珠笔在白纸上签字，需保证字迹清晰、完整。</w:t>
      </w:r>
    </w:p>
    <w:p w14:paraId="16AB8313">
      <w:pPr>
        <w:pStyle w:val="22"/>
        <w:numPr>
          <w:ilvl w:val="0"/>
          <w:numId w:val="1"/>
        </w:numPr>
        <w:spacing w:line="360" w:lineRule="auto"/>
        <w:ind w:firstLineChars="0"/>
        <w:outlineLvl w:val="0"/>
        <w:rPr>
          <w:rFonts w:cs="宋体" w:asciiTheme="minorEastAsia" w:hAnsiTheme="minorEastAsia"/>
          <w:b/>
          <w:snapToGrid w:val="0"/>
          <w:color w:val="000000"/>
          <w:spacing w:val="-4"/>
          <w:kern w:val="0"/>
          <w:sz w:val="28"/>
          <w:szCs w:val="28"/>
        </w:rPr>
      </w:pPr>
      <w:bookmarkStart w:id="28" w:name="_Toc376"/>
      <w:bookmarkStart w:id="29" w:name="_Toc7203"/>
      <w:bookmarkStart w:id="30" w:name="_Toc14160"/>
      <w:bookmarkStart w:id="31" w:name="_Toc142640258"/>
      <w:r>
        <w:rPr>
          <w:rFonts w:hint="eastAsia" w:cs="宋体" w:asciiTheme="minorEastAsia" w:hAnsiTheme="minorEastAsia"/>
          <w:b/>
          <w:snapToGrid w:val="0"/>
          <w:color w:val="000000"/>
          <w:spacing w:val="-4"/>
          <w:kern w:val="0"/>
          <w:sz w:val="28"/>
          <w:szCs w:val="28"/>
        </w:rPr>
        <w:t>身份证上传失败或拍照闪退如何处理</w:t>
      </w:r>
      <w:bookmarkEnd w:id="28"/>
      <w:bookmarkEnd w:id="29"/>
      <w:bookmarkEnd w:id="30"/>
      <w:bookmarkEnd w:id="31"/>
    </w:p>
    <w:p w14:paraId="5D7949F4">
      <w:pPr>
        <w:pStyle w:val="6"/>
        <w:spacing w:before="294" w:line="360" w:lineRule="auto"/>
        <w:ind w:left="25" w:right="6"/>
        <w:rPr>
          <w:rFonts w:asciiTheme="minorEastAsia" w:hAnsiTheme="minorEastAsia" w:eastAsiaTheme="minorEastAsia"/>
          <w:spacing w:val="-4"/>
        </w:rPr>
      </w:pPr>
      <w:r>
        <w:rPr>
          <w:rFonts w:asciiTheme="minorEastAsia" w:hAnsiTheme="minorEastAsia" w:eastAsiaTheme="minorEastAsia"/>
          <w:spacing w:val="-4"/>
        </w:rPr>
        <w:t>证件照上传可通过直接拍摄或选择相册内照片（JPG格式）完成，若网络环境较差可能造成照片上传失败，可建议客户尝试换到信号通畅处（室外、窗边等）再次尝试。同时，手机系统问题（android版本过低或ios版本过高等）也可能造成上述情况，如尝试过前述解决方法均无效，可提示客户尝试更换手机继续进行开户操作。</w:t>
      </w:r>
    </w:p>
    <w:p w14:paraId="2CB9400F">
      <w:pPr>
        <w:pStyle w:val="22"/>
        <w:numPr>
          <w:ilvl w:val="0"/>
          <w:numId w:val="1"/>
        </w:numPr>
        <w:spacing w:line="360" w:lineRule="auto"/>
        <w:ind w:firstLineChars="0"/>
        <w:outlineLvl w:val="0"/>
        <w:rPr>
          <w:rFonts w:cs="宋体" w:asciiTheme="minorEastAsia" w:hAnsiTheme="minorEastAsia"/>
          <w:b/>
          <w:snapToGrid w:val="0"/>
          <w:color w:val="000000"/>
          <w:spacing w:val="-4"/>
          <w:kern w:val="0"/>
          <w:sz w:val="28"/>
          <w:szCs w:val="28"/>
        </w:rPr>
      </w:pPr>
      <w:bookmarkStart w:id="32" w:name="_Toc5196"/>
      <w:bookmarkStart w:id="33" w:name="_Toc142640259"/>
      <w:bookmarkStart w:id="34" w:name="_Toc14551"/>
      <w:bookmarkStart w:id="35" w:name="_Toc11546"/>
      <w:r>
        <w:rPr>
          <w:rFonts w:hint="eastAsia" w:cs="宋体" w:asciiTheme="minorEastAsia" w:hAnsiTheme="minorEastAsia"/>
          <w:b/>
          <w:snapToGrid w:val="0"/>
          <w:color w:val="000000"/>
          <w:spacing w:val="-4"/>
          <w:kern w:val="0"/>
          <w:sz w:val="28"/>
          <w:szCs w:val="28"/>
        </w:rPr>
        <w:t>临时身份证可以用于开户吗</w:t>
      </w:r>
      <w:bookmarkEnd w:id="32"/>
      <w:bookmarkEnd w:id="33"/>
      <w:bookmarkEnd w:id="34"/>
      <w:bookmarkEnd w:id="35"/>
    </w:p>
    <w:p w14:paraId="6D22E147">
      <w:pPr>
        <w:pStyle w:val="6"/>
        <w:spacing w:before="290" w:line="360" w:lineRule="auto"/>
        <w:rPr>
          <w:rFonts w:asciiTheme="minorEastAsia" w:hAnsiTheme="minorEastAsia" w:eastAsiaTheme="minorEastAsia"/>
          <w:spacing w:val="-4"/>
        </w:rPr>
      </w:pPr>
      <w:r>
        <w:rPr>
          <w:rFonts w:asciiTheme="minorEastAsia" w:hAnsiTheme="minorEastAsia" w:eastAsiaTheme="minorEastAsia"/>
          <w:spacing w:val="-4"/>
        </w:rPr>
        <w:t>我司暂不支持使用临时身份证开立期货账户。</w:t>
      </w:r>
    </w:p>
    <w:p w14:paraId="0A946A44">
      <w:pPr>
        <w:pStyle w:val="22"/>
        <w:numPr>
          <w:ilvl w:val="0"/>
          <w:numId w:val="1"/>
        </w:numPr>
        <w:spacing w:line="360" w:lineRule="auto"/>
        <w:ind w:firstLineChars="0"/>
        <w:outlineLvl w:val="0"/>
        <w:rPr>
          <w:rFonts w:cs="宋体" w:asciiTheme="minorEastAsia" w:hAnsiTheme="minorEastAsia"/>
          <w:b/>
          <w:snapToGrid w:val="0"/>
          <w:color w:val="000000"/>
          <w:spacing w:val="-4"/>
          <w:kern w:val="0"/>
          <w:sz w:val="28"/>
          <w:szCs w:val="28"/>
        </w:rPr>
      </w:pPr>
      <w:bookmarkStart w:id="36" w:name="_Toc13320"/>
      <w:bookmarkStart w:id="37" w:name="_Toc20789"/>
      <w:bookmarkStart w:id="38" w:name="_Toc12570"/>
      <w:bookmarkStart w:id="39" w:name="_Toc142640260"/>
      <w:r>
        <w:rPr>
          <w:rFonts w:hint="eastAsia" w:cs="宋体" w:asciiTheme="minorEastAsia" w:hAnsiTheme="minorEastAsia"/>
          <w:b/>
          <w:snapToGrid w:val="0"/>
          <w:color w:val="000000"/>
          <w:spacing w:val="-4"/>
          <w:kern w:val="0"/>
          <w:sz w:val="28"/>
          <w:szCs w:val="28"/>
        </w:rPr>
        <w:t>填写联系地址时系统提示错误是什么原因造成的</w:t>
      </w:r>
      <w:bookmarkEnd w:id="36"/>
      <w:bookmarkEnd w:id="37"/>
      <w:bookmarkEnd w:id="38"/>
      <w:bookmarkEnd w:id="39"/>
    </w:p>
    <w:p w14:paraId="18FDCC5F">
      <w:pPr>
        <w:pStyle w:val="6"/>
        <w:spacing w:before="290" w:line="360" w:lineRule="auto"/>
        <w:ind w:right="613"/>
        <w:rPr>
          <w:rFonts w:asciiTheme="minorEastAsia" w:hAnsiTheme="minorEastAsia" w:eastAsiaTheme="minorEastAsia"/>
          <w:spacing w:val="-4"/>
        </w:rPr>
      </w:pPr>
      <w:r>
        <w:rPr>
          <w:rFonts w:asciiTheme="minorEastAsia" w:hAnsiTheme="minorEastAsia" w:eastAsiaTheme="minorEastAsia"/>
          <w:spacing w:val="-4"/>
        </w:rPr>
        <w:t>联系地址填写支持特殊字符-#（），且长度在3-50之间。</w:t>
      </w:r>
      <w:r>
        <w:rPr>
          <w:rFonts w:hint="eastAsia" w:asciiTheme="minorEastAsia" w:hAnsiTheme="minorEastAsia" w:eastAsiaTheme="minorEastAsia"/>
          <w:spacing w:val="-4"/>
        </w:rPr>
        <w:t>暂不支持空格输入，可尝试将自动识别内容部分或全部删除重新填写。</w:t>
      </w:r>
    </w:p>
    <w:p w14:paraId="0C326C95">
      <w:pPr>
        <w:pStyle w:val="22"/>
        <w:numPr>
          <w:ilvl w:val="0"/>
          <w:numId w:val="1"/>
        </w:numPr>
        <w:spacing w:line="360" w:lineRule="auto"/>
        <w:ind w:firstLineChars="0"/>
        <w:outlineLvl w:val="0"/>
        <w:rPr>
          <w:rFonts w:cs="宋体" w:asciiTheme="minorEastAsia" w:hAnsiTheme="minorEastAsia"/>
          <w:b/>
          <w:snapToGrid w:val="0"/>
          <w:color w:val="000000"/>
          <w:spacing w:val="-4"/>
          <w:kern w:val="0"/>
          <w:sz w:val="28"/>
          <w:szCs w:val="28"/>
        </w:rPr>
      </w:pPr>
      <w:bookmarkStart w:id="40" w:name="_Toc20677"/>
      <w:bookmarkStart w:id="41" w:name="_Toc15055"/>
      <w:bookmarkStart w:id="42" w:name="_Toc9498"/>
      <w:bookmarkStart w:id="43" w:name="_Toc142640261"/>
      <w:r>
        <w:rPr>
          <w:rFonts w:hint="eastAsia" w:cs="宋体" w:asciiTheme="minorEastAsia" w:hAnsiTheme="minorEastAsia"/>
          <w:b/>
          <w:snapToGrid w:val="0"/>
          <w:color w:val="000000"/>
          <w:spacing w:val="-4"/>
          <w:kern w:val="0"/>
          <w:sz w:val="28"/>
          <w:szCs w:val="28"/>
        </w:rPr>
        <w:t>姓名或者证件有效期识别错误如何解决</w:t>
      </w:r>
      <w:bookmarkEnd w:id="40"/>
      <w:bookmarkEnd w:id="41"/>
      <w:bookmarkEnd w:id="42"/>
      <w:bookmarkEnd w:id="43"/>
    </w:p>
    <w:p w14:paraId="5DA2A511">
      <w:pPr>
        <w:pStyle w:val="6"/>
        <w:spacing w:before="291" w:line="360" w:lineRule="auto"/>
        <w:ind w:left="28" w:right="76"/>
        <w:rPr>
          <w:rFonts w:asciiTheme="minorEastAsia" w:hAnsiTheme="minorEastAsia" w:eastAsiaTheme="minorEastAsia"/>
          <w:spacing w:val="-4"/>
        </w:rPr>
      </w:pPr>
      <w:r>
        <w:rPr>
          <w:rFonts w:asciiTheme="minorEastAsia" w:hAnsiTheme="minorEastAsia" w:eastAsiaTheme="minorEastAsia"/>
          <w:spacing w:val="-4"/>
        </w:rPr>
        <w:t>此项信息为系统自动识别，或因照片拍摄不清晰所致。如姓名出现错误、证件有效期错误，客户均可直接自行修改，也可告知客户通过视频见证人员修改。</w:t>
      </w:r>
    </w:p>
    <w:p w14:paraId="75CD6D2D">
      <w:pPr>
        <w:pStyle w:val="22"/>
        <w:numPr>
          <w:ilvl w:val="0"/>
          <w:numId w:val="1"/>
        </w:numPr>
        <w:spacing w:line="360" w:lineRule="auto"/>
        <w:ind w:firstLineChars="0"/>
        <w:outlineLvl w:val="0"/>
        <w:rPr>
          <w:rFonts w:cs="宋体" w:asciiTheme="minorEastAsia" w:hAnsiTheme="minorEastAsia"/>
          <w:b/>
          <w:snapToGrid w:val="0"/>
          <w:color w:val="000000"/>
          <w:spacing w:val="-4"/>
          <w:kern w:val="0"/>
          <w:sz w:val="28"/>
          <w:szCs w:val="28"/>
        </w:rPr>
      </w:pPr>
      <w:bookmarkStart w:id="44" w:name="_Toc5751"/>
      <w:bookmarkStart w:id="45" w:name="_Toc142640262"/>
      <w:bookmarkStart w:id="46" w:name="_Toc15793"/>
      <w:bookmarkStart w:id="47" w:name="_Toc2336"/>
      <w:r>
        <w:rPr>
          <w:rFonts w:hint="eastAsia" w:cs="宋体" w:asciiTheme="minorEastAsia" w:hAnsiTheme="minorEastAsia"/>
          <w:b/>
          <w:snapToGrid w:val="0"/>
          <w:color w:val="000000"/>
          <w:spacing w:val="-4"/>
          <w:kern w:val="0"/>
          <w:sz w:val="28"/>
          <w:szCs w:val="28"/>
        </w:rPr>
        <w:t>银行卡原件不在身边可以开户吗</w:t>
      </w:r>
      <w:bookmarkEnd w:id="44"/>
      <w:bookmarkEnd w:id="45"/>
      <w:bookmarkEnd w:id="46"/>
      <w:bookmarkEnd w:id="47"/>
    </w:p>
    <w:p w14:paraId="3E9A24BF">
      <w:pPr>
        <w:pStyle w:val="6"/>
        <w:spacing w:before="290" w:line="360" w:lineRule="auto"/>
        <w:rPr>
          <w:rFonts w:asciiTheme="minorEastAsia" w:hAnsiTheme="minorEastAsia" w:eastAsiaTheme="minorEastAsia"/>
          <w:spacing w:val="-4"/>
        </w:rPr>
      </w:pPr>
      <w:r>
        <w:rPr>
          <w:rFonts w:asciiTheme="minorEastAsia" w:hAnsiTheme="minorEastAsia" w:eastAsiaTheme="minorEastAsia"/>
          <w:spacing w:val="-4"/>
        </w:rPr>
        <w:t>目前开立期货账户无需要查看本人银行卡原件，有清晰完整的</w:t>
      </w:r>
    </w:p>
    <w:p w14:paraId="232938A5">
      <w:pPr>
        <w:spacing w:line="360" w:lineRule="auto"/>
        <w:rPr>
          <w:rFonts w:cs="宋体" w:asciiTheme="minorEastAsia" w:hAnsiTheme="minorEastAsia"/>
          <w:b/>
          <w:snapToGrid w:val="0"/>
          <w:color w:val="000000"/>
          <w:spacing w:val="-4"/>
          <w:kern w:val="0"/>
          <w:sz w:val="28"/>
          <w:szCs w:val="28"/>
        </w:rPr>
      </w:pPr>
      <w:r>
        <w:rPr>
          <w:rFonts w:cs="宋体" w:asciiTheme="minorEastAsia" w:hAnsiTheme="minorEastAsia"/>
          <w:snapToGrid w:val="0"/>
          <w:color w:val="000000"/>
          <w:spacing w:val="-4"/>
          <w:kern w:val="0"/>
          <w:sz w:val="28"/>
          <w:szCs w:val="28"/>
          <w:lang w:eastAsia="en-US"/>
        </w:rPr>
        <w:t>照片即可。</w:t>
      </w:r>
    </w:p>
    <w:p w14:paraId="2CF827AF">
      <w:pPr>
        <w:pStyle w:val="22"/>
        <w:numPr>
          <w:ilvl w:val="0"/>
          <w:numId w:val="1"/>
        </w:numPr>
        <w:spacing w:line="360" w:lineRule="auto"/>
        <w:ind w:firstLineChars="0"/>
        <w:outlineLvl w:val="0"/>
        <w:rPr>
          <w:rFonts w:hint="eastAsia" w:cs="宋体" w:asciiTheme="minorEastAsia" w:hAnsiTheme="minorEastAsia"/>
          <w:b/>
          <w:snapToGrid w:val="0"/>
          <w:color w:val="000000"/>
          <w:spacing w:val="-4"/>
          <w:kern w:val="0"/>
          <w:sz w:val="28"/>
          <w:szCs w:val="28"/>
        </w:rPr>
      </w:pPr>
      <w:bookmarkStart w:id="48" w:name="_Toc23005"/>
      <w:bookmarkStart w:id="49" w:name="_Toc142640263"/>
      <w:bookmarkStart w:id="50" w:name="_Toc18578"/>
      <w:bookmarkStart w:id="51" w:name="_Toc11127"/>
      <w:r>
        <w:rPr>
          <w:rFonts w:hint="eastAsia" w:cs="宋体" w:asciiTheme="minorEastAsia" w:hAnsiTheme="minorEastAsia"/>
          <w:b/>
          <w:snapToGrid w:val="0"/>
          <w:color w:val="000000"/>
          <w:spacing w:val="-4"/>
          <w:kern w:val="0"/>
          <w:sz w:val="28"/>
          <w:szCs w:val="28"/>
        </w:rPr>
        <w:t>银行卡上传失败或拍照时闪退如何处理</w:t>
      </w:r>
      <w:bookmarkEnd w:id="48"/>
      <w:bookmarkEnd w:id="49"/>
      <w:bookmarkEnd w:id="50"/>
      <w:bookmarkEnd w:id="51"/>
    </w:p>
    <w:p w14:paraId="5D8DF334">
      <w:pPr>
        <w:spacing w:line="360" w:lineRule="auto"/>
        <w:outlineLvl w:val="1"/>
        <w:rPr>
          <w:rFonts w:hint="eastAsia" w:cs="宋体" w:asciiTheme="minorEastAsia" w:hAnsiTheme="minorEastAsia"/>
          <w:b/>
          <w:snapToGrid w:val="0"/>
          <w:color w:val="000000"/>
          <w:spacing w:val="-4"/>
          <w:kern w:val="0"/>
          <w:sz w:val="28"/>
          <w:szCs w:val="28"/>
        </w:rPr>
      </w:pPr>
      <w:bookmarkStart w:id="52" w:name="_Toc142640264"/>
      <w:r>
        <w:rPr>
          <w:rFonts w:hint="eastAsia" w:cs="宋体" w:asciiTheme="minorEastAsia" w:hAnsiTheme="minorEastAsia"/>
          <w:snapToGrid w:val="0"/>
          <w:color w:val="000000"/>
          <w:spacing w:val="-4"/>
          <w:kern w:val="0"/>
          <w:sz w:val="28"/>
          <w:szCs w:val="28"/>
          <w:lang w:eastAsia="en-US"/>
        </w:rPr>
        <w:t>同身份证照上传失败，若网络环境较差可能造成照片上传失败，可建议客户尝试换到信号通畅处（室外、窗边等）再次尝试。同时，手机系统问题（android版本过低或ios版本过高等）也可能造成上述情况，如尝试前述解决方法均无效，可提示客户尝试更换手机继续进行开户操作。</w:t>
      </w:r>
      <w:bookmarkEnd w:id="52"/>
    </w:p>
    <w:p w14:paraId="42119CD7">
      <w:pPr>
        <w:pStyle w:val="22"/>
        <w:numPr>
          <w:ilvl w:val="0"/>
          <w:numId w:val="1"/>
        </w:numPr>
        <w:spacing w:line="360" w:lineRule="auto"/>
        <w:ind w:firstLineChars="0"/>
        <w:outlineLvl w:val="0"/>
        <w:rPr>
          <w:rFonts w:cs="宋体" w:asciiTheme="minorEastAsia" w:hAnsiTheme="minorEastAsia"/>
          <w:b/>
          <w:snapToGrid w:val="0"/>
          <w:color w:val="000000"/>
          <w:spacing w:val="-4"/>
          <w:kern w:val="0"/>
          <w:sz w:val="28"/>
          <w:szCs w:val="28"/>
        </w:rPr>
      </w:pPr>
      <w:bookmarkStart w:id="53" w:name="_Toc142640265"/>
      <w:bookmarkStart w:id="54" w:name="_Toc19647"/>
      <w:r>
        <w:rPr>
          <w:rFonts w:hint="eastAsia" w:cs="宋体" w:asciiTheme="minorEastAsia" w:hAnsiTheme="minorEastAsia"/>
          <w:b/>
          <w:snapToGrid w:val="0"/>
          <w:color w:val="000000"/>
          <w:spacing w:val="-4"/>
          <w:kern w:val="0"/>
          <w:sz w:val="28"/>
          <w:szCs w:val="28"/>
        </w:rPr>
        <w:t>银行卡号在背面如何上传</w:t>
      </w:r>
      <w:bookmarkEnd w:id="53"/>
      <w:bookmarkEnd w:id="54"/>
    </w:p>
    <w:p w14:paraId="5DD892A6">
      <w:pPr>
        <w:pStyle w:val="6"/>
        <w:spacing w:before="114" w:line="360" w:lineRule="auto"/>
        <w:rPr>
          <w:rFonts w:asciiTheme="minorEastAsia" w:hAnsiTheme="minorEastAsia"/>
          <w:b/>
          <w:spacing w:val="-4"/>
          <w:lang w:eastAsia="zh-CN"/>
        </w:rPr>
      </w:pPr>
      <w:r>
        <w:rPr>
          <w:rFonts w:hint="eastAsia" w:asciiTheme="minorEastAsia" w:hAnsiTheme="minorEastAsia"/>
          <w:spacing w:val="-4"/>
        </w:rPr>
        <w:t>可拍摄清晰完整银行卡背面照片上传。</w:t>
      </w:r>
    </w:p>
    <w:p w14:paraId="465AE566">
      <w:pPr>
        <w:pStyle w:val="22"/>
        <w:numPr>
          <w:ilvl w:val="0"/>
          <w:numId w:val="1"/>
        </w:numPr>
        <w:spacing w:line="360" w:lineRule="auto"/>
        <w:ind w:firstLineChars="0"/>
        <w:outlineLvl w:val="0"/>
        <w:rPr>
          <w:rFonts w:hint="eastAsia" w:cs="宋体" w:asciiTheme="minorEastAsia" w:hAnsiTheme="minorEastAsia"/>
          <w:b/>
          <w:snapToGrid w:val="0"/>
          <w:color w:val="000000"/>
          <w:spacing w:val="-4"/>
          <w:kern w:val="0"/>
          <w:sz w:val="28"/>
          <w:szCs w:val="28"/>
        </w:rPr>
      </w:pPr>
      <w:bookmarkStart w:id="55" w:name="_Toc142640266"/>
      <w:bookmarkStart w:id="56" w:name="_Toc32642"/>
      <w:bookmarkStart w:id="57" w:name="_Toc5363"/>
      <w:bookmarkStart w:id="58" w:name="_Toc27860"/>
      <w:r>
        <w:rPr>
          <w:rFonts w:hint="eastAsia" w:cs="宋体" w:asciiTheme="minorEastAsia" w:hAnsiTheme="minorEastAsia"/>
          <w:b/>
          <w:snapToGrid w:val="0"/>
          <w:color w:val="000000"/>
          <w:spacing w:val="-4"/>
          <w:kern w:val="0"/>
          <w:sz w:val="28"/>
          <w:szCs w:val="28"/>
        </w:rPr>
        <w:t>信用卡及二类卡可以使用吗</w:t>
      </w:r>
      <w:bookmarkEnd w:id="55"/>
      <w:bookmarkEnd w:id="56"/>
    </w:p>
    <w:p w14:paraId="384DA335">
      <w:pPr>
        <w:spacing w:line="360" w:lineRule="auto"/>
        <w:outlineLvl w:val="1"/>
        <w:rPr>
          <w:rFonts w:hint="eastAsia" w:cs="宋体" w:asciiTheme="minorEastAsia" w:hAnsiTheme="minorEastAsia"/>
          <w:b/>
          <w:snapToGrid w:val="0"/>
          <w:color w:val="000000"/>
          <w:spacing w:val="-4"/>
          <w:kern w:val="0"/>
          <w:sz w:val="28"/>
          <w:szCs w:val="28"/>
        </w:rPr>
      </w:pPr>
      <w:bookmarkStart w:id="59" w:name="_Toc142640267"/>
      <w:r>
        <w:rPr>
          <w:rFonts w:hint="eastAsia" w:cs="宋体" w:asciiTheme="minorEastAsia" w:hAnsiTheme="minorEastAsia"/>
          <w:snapToGrid w:val="0"/>
          <w:color w:val="000000"/>
          <w:spacing w:val="-4"/>
          <w:kern w:val="0"/>
          <w:sz w:val="28"/>
          <w:szCs w:val="28"/>
          <w:lang w:eastAsia="en-US"/>
        </w:rPr>
        <w:t>目前银行暂不支持信用卡作为结算账户使用，二类卡由于功能受限，可能影响正常银期签约或转账功能，故不建议使用。详情可咨询银行端工作人员。</w:t>
      </w:r>
      <w:bookmarkEnd w:id="59"/>
    </w:p>
    <w:p w14:paraId="3E5B3CBB">
      <w:pPr>
        <w:pStyle w:val="22"/>
        <w:numPr>
          <w:ilvl w:val="0"/>
          <w:numId w:val="1"/>
        </w:numPr>
        <w:spacing w:line="360" w:lineRule="auto"/>
        <w:ind w:firstLineChars="0"/>
        <w:outlineLvl w:val="0"/>
        <w:rPr>
          <w:rFonts w:hint="eastAsia" w:cs="宋体" w:asciiTheme="minorEastAsia" w:hAnsiTheme="minorEastAsia"/>
          <w:b/>
          <w:snapToGrid w:val="0"/>
          <w:color w:val="000000"/>
          <w:spacing w:val="-4"/>
          <w:kern w:val="0"/>
          <w:sz w:val="28"/>
          <w:szCs w:val="28"/>
        </w:rPr>
      </w:pPr>
      <w:bookmarkStart w:id="60" w:name="_Toc15639"/>
      <w:bookmarkStart w:id="61" w:name="_Toc142640268"/>
      <w:r>
        <w:rPr>
          <w:rFonts w:hint="eastAsia" w:cs="宋体" w:asciiTheme="minorEastAsia" w:hAnsiTheme="minorEastAsia"/>
          <w:b/>
          <w:snapToGrid w:val="0"/>
          <w:color w:val="000000"/>
          <w:spacing w:val="-4"/>
          <w:kern w:val="0"/>
          <w:sz w:val="28"/>
          <w:szCs w:val="28"/>
          <w:lang w:eastAsia="en-US"/>
        </w:rPr>
        <w:t>上传银行卡提示结算账户已存在如何解决</w:t>
      </w:r>
      <w:bookmarkEnd w:id="60"/>
      <w:bookmarkEnd w:id="61"/>
    </w:p>
    <w:p w14:paraId="1988A70E">
      <w:pPr>
        <w:spacing w:line="360" w:lineRule="auto"/>
        <w:outlineLvl w:val="1"/>
        <w:rPr>
          <w:rFonts w:hint="eastAsia" w:cs="宋体" w:asciiTheme="minorEastAsia" w:hAnsiTheme="minorEastAsia"/>
          <w:b/>
          <w:snapToGrid w:val="0"/>
          <w:color w:val="000000"/>
          <w:spacing w:val="-4"/>
          <w:kern w:val="0"/>
          <w:sz w:val="28"/>
          <w:szCs w:val="28"/>
        </w:rPr>
      </w:pPr>
      <w:bookmarkStart w:id="62" w:name="_Toc142640269"/>
      <w:r>
        <w:rPr>
          <w:rFonts w:hint="eastAsia" w:cs="宋体" w:asciiTheme="minorEastAsia" w:hAnsiTheme="minorEastAsia"/>
          <w:snapToGrid w:val="0"/>
          <w:color w:val="000000"/>
          <w:spacing w:val="-4"/>
          <w:kern w:val="0"/>
          <w:sz w:val="28"/>
          <w:szCs w:val="28"/>
          <w:lang w:eastAsia="en-US"/>
        </w:rPr>
        <w:t>重复上传同一张银行卡照片时，系统将提示结算账户已存在，客户可点击银行卡照片右上角X删除重复照片后，再次尝试后续操作。</w:t>
      </w:r>
      <w:bookmarkEnd w:id="62"/>
    </w:p>
    <w:p w14:paraId="35215695">
      <w:pPr>
        <w:pStyle w:val="22"/>
        <w:numPr>
          <w:ilvl w:val="0"/>
          <w:numId w:val="1"/>
        </w:numPr>
        <w:spacing w:line="360" w:lineRule="auto"/>
        <w:ind w:firstLineChars="0"/>
        <w:outlineLvl w:val="0"/>
        <w:rPr>
          <w:rFonts w:hint="eastAsia" w:cs="宋体" w:asciiTheme="minorEastAsia" w:hAnsiTheme="minorEastAsia"/>
          <w:b/>
          <w:snapToGrid w:val="0"/>
          <w:color w:val="000000"/>
          <w:spacing w:val="-4"/>
          <w:kern w:val="0"/>
          <w:sz w:val="28"/>
          <w:szCs w:val="28"/>
        </w:rPr>
      </w:pPr>
      <w:bookmarkStart w:id="63" w:name="_Toc142640270"/>
      <w:bookmarkStart w:id="64" w:name="_Toc30120"/>
      <w:r>
        <w:rPr>
          <w:rFonts w:hint="eastAsia" w:asciiTheme="majorEastAsia" w:hAnsiTheme="majorEastAsia" w:eastAsiaTheme="majorEastAsia" w:cstheme="majorEastAsia"/>
          <w:b/>
          <w:snapToGrid w:val="0"/>
          <w:color w:val="000000"/>
          <w:spacing w:val="-4"/>
          <w:kern w:val="0"/>
          <w:sz w:val="28"/>
          <w:szCs w:val="28"/>
        </w:rPr>
        <w:t>银行营业网点必须填写吗提示填写错误是什么原因</w:t>
      </w:r>
      <w:bookmarkEnd w:id="63"/>
      <w:bookmarkEnd w:id="64"/>
    </w:p>
    <w:p w14:paraId="4DF95873">
      <w:pPr>
        <w:pStyle w:val="22"/>
        <w:numPr>
          <w:ilvl w:val="0"/>
          <w:numId w:val="0"/>
        </w:numPr>
        <w:spacing w:line="360" w:lineRule="auto"/>
        <w:ind w:leftChars="0"/>
        <w:outlineLvl w:val="0"/>
        <w:rPr>
          <w:rFonts w:hint="eastAsia" w:cs="宋体" w:asciiTheme="minorEastAsia" w:hAnsiTheme="minorEastAsia"/>
          <w:b/>
          <w:snapToGrid w:val="0"/>
          <w:color w:val="000000"/>
          <w:spacing w:val="-4"/>
          <w:kern w:val="0"/>
          <w:sz w:val="28"/>
          <w:szCs w:val="28"/>
        </w:rPr>
      </w:pPr>
      <w:bookmarkStart w:id="65" w:name="_Toc24374"/>
      <w:r>
        <w:rPr>
          <w:rFonts w:hint="eastAsia" w:cs="宋体" w:asciiTheme="minorEastAsia" w:hAnsiTheme="minorEastAsia"/>
          <w:snapToGrid w:val="0"/>
          <w:color w:val="000000"/>
          <w:spacing w:val="-4"/>
          <w:kern w:val="0"/>
          <w:sz w:val="28"/>
          <w:szCs w:val="28"/>
          <w:lang w:eastAsia="en-US"/>
        </w:rPr>
        <w:t>根据业务规定，反洗钱要求开户必须如实填写结算账户开户营业网点名称。若客户遗忘银行卡开户网点，可建议咨询银行客服查询。网点名称不支持特殊符号填写，提示错误可删除重新填写中文字符</w:t>
      </w:r>
      <w:r>
        <w:rPr>
          <w:rFonts w:hint="eastAsia" w:cs="宋体" w:asciiTheme="minorEastAsia" w:hAnsiTheme="minorEastAsia"/>
          <w:snapToGrid w:val="0"/>
          <w:color w:val="000000"/>
          <w:spacing w:val="-4"/>
          <w:kern w:val="0"/>
          <w:sz w:val="28"/>
          <w:szCs w:val="28"/>
          <w:lang w:eastAsia="zh-CN"/>
        </w:rPr>
        <w:t>。</w:t>
      </w:r>
      <w:bookmarkEnd w:id="65"/>
    </w:p>
    <w:p w14:paraId="1F099F90">
      <w:pPr>
        <w:pStyle w:val="22"/>
        <w:numPr>
          <w:ilvl w:val="0"/>
          <w:numId w:val="1"/>
        </w:numPr>
        <w:spacing w:line="360" w:lineRule="auto"/>
        <w:ind w:firstLineChars="0"/>
        <w:outlineLvl w:val="0"/>
        <w:rPr>
          <w:rFonts w:hint="eastAsia" w:cs="宋体" w:asciiTheme="minorEastAsia" w:hAnsiTheme="minorEastAsia"/>
          <w:b/>
          <w:snapToGrid w:val="0"/>
          <w:color w:val="000000"/>
          <w:spacing w:val="-4"/>
          <w:kern w:val="0"/>
          <w:sz w:val="28"/>
          <w:szCs w:val="28"/>
        </w:rPr>
      </w:pPr>
      <w:bookmarkStart w:id="66" w:name="_Toc29501"/>
      <w:r>
        <w:rPr>
          <w:rFonts w:hint="eastAsia" w:asciiTheme="majorEastAsia" w:hAnsiTheme="majorEastAsia" w:eastAsiaTheme="majorEastAsia" w:cstheme="majorEastAsia"/>
          <w:b/>
          <w:snapToGrid w:val="0"/>
          <w:color w:val="000000"/>
          <w:spacing w:val="-4"/>
          <w:kern w:val="0"/>
          <w:sz w:val="28"/>
          <w:szCs w:val="28"/>
          <w:lang w:val="en-US" w:eastAsia="en-US" w:bidi="ar-SA"/>
        </w:rPr>
        <w:t>风险评测是什么</w:t>
      </w:r>
      <w:bookmarkEnd w:id="66"/>
    </w:p>
    <w:p w14:paraId="32D9E5CA">
      <w:pPr>
        <w:pStyle w:val="22"/>
        <w:numPr>
          <w:ilvl w:val="0"/>
          <w:numId w:val="0"/>
        </w:numPr>
        <w:spacing w:line="360" w:lineRule="auto"/>
        <w:ind w:leftChars="0"/>
        <w:outlineLvl w:val="0"/>
        <w:rPr>
          <w:rFonts w:hint="eastAsia" w:cs="宋体" w:asciiTheme="minorEastAsia" w:hAnsiTheme="minorEastAsia"/>
          <w:b/>
          <w:snapToGrid w:val="0"/>
          <w:color w:val="000000"/>
          <w:spacing w:val="-4"/>
          <w:kern w:val="0"/>
          <w:sz w:val="28"/>
          <w:szCs w:val="28"/>
        </w:rPr>
      </w:pPr>
      <w:bookmarkStart w:id="67" w:name="_Toc26054"/>
      <w:r>
        <w:rPr>
          <w:rFonts w:hint="eastAsia" w:cs="宋体" w:asciiTheme="minorEastAsia" w:hAnsiTheme="minorEastAsia"/>
          <w:snapToGrid w:val="0"/>
          <w:color w:val="000000"/>
          <w:spacing w:val="-4"/>
          <w:kern w:val="0"/>
          <w:sz w:val="28"/>
          <w:szCs w:val="28"/>
          <w:lang w:eastAsia="en-US"/>
        </w:rPr>
        <w:t>风险测评指我司通过问卷调查形式对客户的基本信息、风险偏好及可承受损失等内容进行了解，同时结合风险测评结果，对客户风险承受能力进行综合评估，并根据评估结果为客户适配对应的金融产品及服务。</w:t>
      </w:r>
      <w:bookmarkEnd w:id="67"/>
    </w:p>
    <w:p w14:paraId="5B91E5E3">
      <w:pPr>
        <w:pStyle w:val="22"/>
        <w:numPr>
          <w:ilvl w:val="0"/>
          <w:numId w:val="1"/>
        </w:numPr>
        <w:spacing w:line="360" w:lineRule="auto"/>
        <w:ind w:firstLineChars="0"/>
        <w:outlineLvl w:val="0"/>
        <w:rPr>
          <w:rFonts w:hint="eastAsia" w:cs="宋体" w:asciiTheme="minorEastAsia" w:hAnsiTheme="minorEastAsia"/>
          <w:b/>
          <w:snapToGrid w:val="0"/>
          <w:color w:val="000000"/>
          <w:spacing w:val="-4"/>
          <w:kern w:val="0"/>
          <w:sz w:val="28"/>
          <w:szCs w:val="28"/>
        </w:rPr>
      </w:pPr>
      <w:bookmarkStart w:id="68" w:name="_Toc24639"/>
      <w:r>
        <w:rPr>
          <w:rFonts w:hint="eastAsia" w:asciiTheme="majorEastAsia" w:hAnsiTheme="majorEastAsia" w:eastAsiaTheme="majorEastAsia" w:cstheme="majorEastAsia"/>
          <w:b/>
          <w:snapToGrid w:val="0"/>
          <w:color w:val="000000"/>
          <w:spacing w:val="-4"/>
          <w:kern w:val="0"/>
          <w:sz w:val="28"/>
          <w:szCs w:val="28"/>
        </w:rPr>
        <w:t>风险评测多少分可以开户多少分及格</w:t>
      </w:r>
      <w:bookmarkEnd w:id="68"/>
    </w:p>
    <w:p w14:paraId="5EE6154D">
      <w:pPr>
        <w:spacing w:line="360" w:lineRule="auto"/>
        <w:rPr>
          <w:rFonts w:hint="eastAsia" w:cs="宋体" w:asciiTheme="minorEastAsia" w:hAnsiTheme="minorEastAsia"/>
          <w:b/>
          <w:snapToGrid w:val="0"/>
          <w:color w:val="000000"/>
          <w:spacing w:val="-4"/>
          <w:kern w:val="0"/>
          <w:sz w:val="28"/>
          <w:szCs w:val="28"/>
        </w:rPr>
      </w:pPr>
      <w:r>
        <w:rPr>
          <w:rFonts w:hint="eastAsia" w:cs="宋体" w:asciiTheme="minorEastAsia" w:hAnsiTheme="minorEastAsia"/>
          <w:snapToGrid w:val="0"/>
          <w:color w:val="000000"/>
          <w:spacing w:val="-4"/>
          <w:kern w:val="0"/>
          <w:sz w:val="28"/>
          <w:szCs w:val="28"/>
          <w:lang w:eastAsia="en-US"/>
        </w:rPr>
        <w:t>风险评测分数对应不同的风险承受能力等级。C1类型（得分</w:t>
      </w:r>
      <w:r>
        <w:rPr>
          <w:rFonts w:hint="eastAsia" w:cs="宋体" w:asciiTheme="minorEastAsia" w:hAnsiTheme="minorEastAsia"/>
          <w:snapToGrid w:val="0"/>
          <w:color w:val="000000"/>
          <w:spacing w:val="-4"/>
          <w:kern w:val="0"/>
          <w:sz w:val="28"/>
          <w:szCs w:val="28"/>
        </w:rPr>
        <w:t>&lt;16</w:t>
      </w:r>
      <w:r>
        <w:rPr>
          <w:rFonts w:hint="eastAsia" w:cs="宋体" w:asciiTheme="minorEastAsia" w:hAnsiTheme="minorEastAsia"/>
          <w:snapToGrid w:val="0"/>
          <w:color w:val="000000"/>
          <w:spacing w:val="-4"/>
          <w:kern w:val="0"/>
          <w:sz w:val="28"/>
          <w:szCs w:val="28"/>
          <w:lang w:eastAsia="en-US"/>
        </w:rPr>
        <w:t>分）和C2类型（</w:t>
      </w:r>
      <w:r>
        <w:rPr>
          <w:rFonts w:hint="eastAsia" w:cs="宋体" w:asciiTheme="minorEastAsia" w:hAnsiTheme="minorEastAsia"/>
          <w:snapToGrid w:val="0"/>
          <w:color w:val="000000"/>
          <w:spacing w:val="-4"/>
          <w:kern w:val="0"/>
          <w:sz w:val="28"/>
          <w:szCs w:val="28"/>
        </w:rPr>
        <w:t>16</w:t>
      </w:r>
      <w:r>
        <w:rPr>
          <w:rFonts w:hint="eastAsia" w:cs="宋体" w:asciiTheme="minorEastAsia" w:hAnsiTheme="minorEastAsia"/>
          <w:snapToGrid w:val="0"/>
          <w:color w:val="000000"/>
          <w:spacing w:val="-4"/>
          <w:kern w:val="0"/>
          <w:sz w:val="28"/>
          <w:szCs w:val="28"/>
          <w:lang w:eastAsia="en-US"/>
        </w:rPr>
        <w:t>分≤得分≤</w:t>
      </w:r>
      <w:r>
        <w:rPr>
          <w:rFonts w:hint="eastAsia" w:cs="宋体" w:asciiTheme="minorEastAsia" w:hAnsiTheme="minorEastAsia"/>
          <w:snapToGrid w:val="0"/>
          <w:color w:val="000000"/>
          <w:spacing w:val="-4"/>
          <w:kern w:val="0"/>
          <w:sz w:val="28"/>
          <w:szCs w:val="28"/>
        </w:rPr>
        <w:t>35</w:t>
      </w:r>
      <w:r>
        <w:rPr>
          <w:rFonts w:hint="eastAsia" w:cs="宋体" w:asciiTheme="minorEastAsia" w:hAnsiTheme="minorEastAsia"/>
          <w:snapToGrid w:val="0"/>
          <w:color w:val="000000"/>
          <w:spacing w:val="-4"/>
          <w:kern w:val="0"/>
          <w:sz w:val="28"/>
          <w:szCs w:val="28"/>
          <w:lang w:eastAsia="en-US"/>
        </w:rPr>
        <w:t>分）风险承受能力投资者仅可购买相关资管产品无法开立期货账户；C3类型（3</w:t>
      </w:r>
      <w:r>
        <w:rPr>
          <w:rFonts w:hint="eastAsia" w:cs="宋体" w:asciiTheme="minorEastAsia" w:hAnsiTheme="minorEastAsia"/>
          <w:snapToGrid w:val="0"/>
          <w:color w:val="000000"/>
          <w:spacing w:val="-4"/>
          <w:kern w:val="0"/>
          <w:sz w:val="28"/>
          <w:szCs w:val="28"/>
        </w:rPr>
        <w:t>6</w:t>
      </w:r>
      <w:r>
        <w:rPr>
          <w:rFonts w:hint="eastAsia" w:cs="宋体" w:asciiTheme="minorEastAsia" w:hAnsiTheme="minorEastAsia"/>
          <w:snapToGrid w:val="0"/>
          <w:color w:val="000000"/>
          <w:spacing w:val="-4"/>
          <w:kern w:val="0"/>
          <w:sz w:val="28"/>
          <w:szCs w:val="28"/>
          <w:lang w:eastAsia="en-US"/>
        </w:rPr>
        <w:t>分≤得分≤</w:t>
      </w:r>
      <w:r>
        <w:rPr>
          <w:rFonts w:hint="eastAsia" w:cs="宋体" w:asciiTheme="minorEastAsia" w:hAnsiTheme="minorEastAsia"/>
          <w:snapToGrid w:val="0"/>
          <w:color w:val="000000"/>
          <w:spacing w:val="-4"/>
          <w:kern w:val="0"/>
          <w:sz w:val="28"/>
          <w:szCs w:val="28"/>
        </w:rPr>
        <w:t>65</w:t>
      </w:r>
      <w:r>
        <w:rPr>
          <w:rFonts w:hint="eastAsia" w:cs="宋体" w:asciiTheme="minorEastAsia" w:hAnsiTheme="minorEastAsia"/>
          <w:snapToGrid w:val="0"/>
          <w:color w:val="000000"/>
          <w:spacing w:val="-4"/>
          <w:kern w:val="0"/>
          <w:sz w:val="28"/>
          <w:szCs w:val="28"/>
          <w:lang w:eastAsia="en-US"/>
        </w:rPr>
        <w:t>分）风险承受能力投资者适配R1、R2、R3风险等级的产品或服务，其中R3包括但不限于除原油期货以外的商品期货；C4类型（</w:t>
      </w:r>
      <w:r>
        <w:rPr>
          <w:rFonts w:hint="eastAsia" w:cs="宋体" w:asciiTheme="minorEastAsia" w:hAnsiTheme="minorEastAsia"/>
          <w:snapToGrid w:val="0"/>
          <w:color w:val="000000"/>
          <w:spacing w:val="-4"/>
          <w:kern w:val="0"/>
          <w:sz w:val="28"/>
          <w:szCs w:val="28"/>
        </w:rPr>
        <w:t>66</w:t>
      </w:r>
      <w:r>
        <w:rPr>
          <w:rFonts w:hint="eastAsia" w:cs="宋体" w:asciiTheme="minorEastAsia" w:hAnsiTheme="minorEastAsia"/>
          <w:snapToGrid w:val="0"/>
          <w:color w:val="000000"/>
          <w:spacing w:val="-4"/>
          <w:kern w:val="0"/>
          <w:sz w:val="28"/>
          <w:szCs w:val="28"/>
          <w:lang w:eastAsia="en-US"/>
        </w:rPr>
        <w:t>分≤得分≤8</w:t>
      </w:r>
      <w:r>
        <w:rPr>
          <w:rFonts w:hint="eastAsia" w:cs="宋体" w:asciiTheme="minorEastAsia" w:hAnsiTheme="minorEastAsia"/>
          <w:snapToGrid w:val="0"/>
          <w:color w:val="000000"/>
          <w:spacing w:val="-4"/>
          <w:kern w:val="0"/>
          <w:sz w:val="28"/>
          <w:szCs w:val="28"/>
        </w:rPr>
        <w:t>5</w:t>
      </w:r>
      <w:r>
        <w:rPr>
          <w:rFonts w:hint="eastAsia" w:cs="宋体" w:asciiTheme="minorEastAsia" w:hAnsiTheme="minorEastAsia"/>
          <w:snapToGrid w:val="0"/>
          <w:color w:val="000000"/>
          <w:spacing w:val="-4"/>
          <w:kern w:val="0"/>
          <w:sz w:val="28"/>
          <w:szCs w:val="28"/>
          <w:lang w:eastAsia="en-US"/>
        </w:rPr>
        <w:t>分）风险承受能力投资者适配R1、R2、R3、R4风险等级的产品或服务；C5类型（8</w:t>
      </w:r>
      <w:r>
        <w:rPr>
          <w:rFonts w:hint="eastAsia" w:cs="宋体" w:asciiTheme="minorEastAsia" w:hAnsiTheme="minorEastAsia"/>
          <w:snapToGrid w:val="0"/>
          <w:color w:val="000000"/>
          <w:spacing w:val="-4"/>
          <w:kern w:val="0"/>
          <w:sz w:val="28"/>
          <w:szCs w:val="28"/>
        </w:rPr>
        <w:t>6</w:t>
      </w:r>
      <w:r>
        <w:rPr>
          <w:rFonts w:hint="eastAsia" w:cs="宋体" w:asciiTheme="minorEastAsia" w:hAnsiTheme="minorEastAsia"/>
          <w:snapToGrid w:val="0"/>
          <w:color w:val="000000"/>
          <w:spacing w:val="-4"/>
          <w:kern w:val="0"/>
          <w:sz w:val="28"/>
          <w:szCs w:val="28"/>
          <w:lang w:eastAsia="en-US"/>
        </w:rPr>
        <w:t>分≤得分≤100分）风险承受能力投资者适配R1、R2、R3、R4、R5风险等级的产品或服务，其中R4包括但不限于金融期货、原油期货、期权等，具体品种以中国期货业协会及各交易所规定为准。</w:t>
      </w:r>
    </w:p>
    <w:p w14:paraId="15BEDF51">
      <w:pPr>
        <w:pStyle w:val="22"/>
        <w:numPr>
          <w:ilvl w:val="0"/>
          <w:numId w:val="1"/>
        </w:numPr>
        <w:spacing w:line="360" w:lineRule="auto"/>
        <w:ind w:firstLineChars="0"/>
        <w:outlineLvl w:val="0"/>
        <w:rPr>
          <w:rFonts w:hint="eastAsia" w:cs="宋体" w:asciiTheme="minorEastAsia" w:hAnsiTheme="minorEastAsia"/>
          <w:b/>
          <w:snapToGrid w:val="0"/>
          <w:color w:val="000000"/>
          <w:spacing w:val="-4"/>
          <w:kern w:val="0"/>
          <w:sz w:val="28"/>
          <w:szCs w:val="28"/>
        </w:rPr>
      </w:pPr>
      <w:bookmarkStart w:id="69" w:name="_Toc8393"/>
      <w:r>
        <w:rPr>
          <w:rFonts w:hint="eastAsia" w:cs="宋体" w:asciiTheme="minorEastAsia" w:hAnsiTheme="minorEastAsia"/>
          <w:b/>
          <w:snapToGrid w:val="0"/>
          <w:color w:val="000000"/>
          <w:spacing w:val="-4"/>
          <w:kern w:val="0"/>
          <w:sz w:val="28"/>
          <w:szCs w:val="28"/>
          <w:lang w:eastAsia="en-US"/>
        </w:rPr>
        <w:t>C3（C4、C5）代表什么能做什么品种</w:t>
      </w:r>
      <w:bookmarkEnd w:id="69"/>
    </w:p>
    <w:p w14:paraId="09F7964E">
      <w:pPr>
        <w:pStyle w:val="22"/>
        <w:numPr>
          <w:ilvl w:val="0"/>
          <w:numId w:val="0"/>
        </w:numPr>
        <w:spacing w:line="360" w:lineRule="auto"/>
        <w:ind w:leftChars="0"/>
        <w:outlineLvl w:val="0"/>
        <w:rPr>
          <w:rFonts w:hint="eastAsia" w:cs="宋体" w:asciiTheme="minorEastAsia" w:hAnsiTheme="minorEastAsia"/>
          <w:b/>
          <w:snapToGrid w:val="0"/>
          <w:color w:val="000000"/>
          <w:spacing w:val="-4"/>
          <w:kern w:val="0"/>
          <w:sz w:val="28"/>
          <w:szCs w:val="28"/>
        </w:rPr>
      </w:pPr>
      <w:bookmarkStart w:id="70" w:name="_Toc7357"/>
      <w:r>
        <w:rPr>
          <w:rFonts w:hint="eastAsia" w:cs="宋体" w:asciiTheme="minorEastAsia" w:hAnsiTheme="minorEastAsia"/>
          <w:snapToGrid w:val="0"/>
          <w:color w:val="000000"/>
          <w:spacing w:val="-4"/>
          <w:kern w:val="0"/>
          <w:sz w:val="28"/>
          <w:szCs w:val="28"/>
          <w:lang w:eastAsia="en-US"/>
        </w:rPr>
        <w:t>C1-C5分别代表低风险（无风险）至高风险承受能力。且分别对应（以及包含低等级）R1-R5风险级别。普通商品期货、</w:t>
      </w:r>
      <w:r>
        <w:rPr>
          <w:rFonts w:hint="eastAsia" w:cs="宋体" w:asciiTheme="minorEastAsia" w:hAnsiTheme="minorEastAsia"/>
          <w:snapToGrid w:val="0"/>
          <w:color w:val="000000"/>
          <w:spacing w:val="-4"/>
          <w:kern w:val="0"/>
          <w:sz w:val="28"/>
          <w:szCs w:val="28"/>
        </w:rPr>
        <w:t>郑州商品交易所的特定品种（</w:t>
      </w:r>
      <w:r>
        <w:rPr>
          <w:rFonts w:hint="eastAsia" w:cs="宋体" w:asciiTheme="minorEastAsia" w:hAnsiTheme="minorEastAsia"/>
          <w:snapToGrid w:val="0"/>
          <w:color w:val="000000"/>
          <w:spacing w:val="-4"/>
          <w:kern w:val="0"/>
          <w:sz w:val="28"/>
          <w:szCs w:val="28"/>
          <w:lang w:eastAsia="en-US"/>
        </w:rPr>
        <w:t>PT</w:t>
      </w:r>
      <w:r>
        <w:rPr>
          <w:rFonts w:hint="eastAsia" w:cs="宋体" w:asciiTheme="minorEastAsia" w:hAnsiTheme="minorEastAsia"/>
          <w:snapToGrid w:val="0"/>
          <w:color w:val="000000"/>
          <w:spacing w:val="-4"/>
          <w:kern w:val="0"/>
          <w:sz w:val="28"/>
          <w:szCs w:val="28"/>
        </w:rPr>
        <w:t>A</w:t>
      </w:r>
      <w:r>
        <w:rPr>
          <w:rFonts w:hint="eastAsia" w:cs="宋体" w:asciiTheme="minorEastAsia" w:hAnsiTheme="minorEastAsia"/>
          <w:snapToGrid w:val="0"/>
          <w:color w:val="000000"/>
          <w:spacing w:val="-4"/>
          <w:kern w:val="0"/>
          <w:sz w:val="28"/>
          <w:szCs w:val="28"/>
          <w:lang w:eastAsia="en-US"/>
        </w:rPr>
        <w:t>、菜粕、菜油、花生期货</w:t>
      </w:r>
      <w:r>
        <w:rPr>
          <w:rFonts w:hint="eastAsia" w:cs="宋体" w:asciiTheme="minorEastAsia" w:hAnsiTheme="minorEastAsia"/>
          <w:snapToGrid w:val="0"/>
          <w:color w:val="000000"/>
          <w:spacing w:val="-4"/>
          <w:kern w:val="0"/>
          <w:sz w:val="28"/>
          <w:szCs w:val="28"/>
        </w:rPr>
        <w:t>）、大连商品交易所（</w:t>
      </w:r>
      <w:r>
        <w:rPr>
          <w:rFonts w:hint="eastAsia" w:cs="宋体" w:asciiTheme="minorEastAsia" w:hAnsiTheme="minorEastAsia"/>
          <w:snapToGrid w:val="0"/>
          <w:color w:val="000000"/>
          <w:spacing w:val="-4"/>
          <w:kern w:val="0"/>
          <w:sz w:val="28"/>
          <w:szCs w:val="28"/>
          <w:lang w:eastAsia="en-US"/>
        </w:rPr>
        <w:t>铁矿石、棕榈油、豆一、豆二、豆粕、豆油期货</w:t>
      </w:r>
      <w:r>
        <w:rPr>
          <w:rFonts w:hint="eastAsia" w:cs="宋体" w:asciiTheme="minorEastAsia" w:hAnsiTheme="minorEastAsia"/>
          <w:snapToGrid w:val="0"/>
          <w:color w:val="000000"/>
          <w:spacing w:val="-4"/>
          <w:kern w:val="0"/>
          <w:sz w:val="28"/>
          <w:szCs w:val="28"/>
        </w:rPr>
        <w:t>）、</w:t>
      </w:r>
      <w:r>
        <w:rPr>
          <w:rFonts w:hint="eastAsia" w:cs="宋体" w:asciiTheme="minorEastAsia" w:hAnsiTheme="minorEastAsia"/>
          <w:snapToGrid w:val="0"/>
          <w:color w:val="000000"/>
          <w:spacing w:val="-4"/>
          <w:kern w:val="0"/>
          <w:sz w:val="28"/>
          <w:szCs w:val="28"/>
          <w:lang w:eastAsia="en-US"/>
        </w:rPr>
        <w:t>上海国际能源交易中心（低硫燃料油期货、20号胶期货、国际铜期货）要求C</w:t>
      </w:r>
      <w:r>
        <w:rPr>
          <w:rFonts w:hint="eastAsia" w:cs="宋体" w:asciiTheme="minorEastAsia" w:hAnsiTheme="minorEastAsia"/>
          <w:snapToGrid w:val="0"/>
          <w:color w:val="000000"/>
          <w:spacing w:val="-4"/>
          <w:kern w:val="0"/>
          <w:sz w:val="28"/>
          <w:szCs w:val="28"/>
        </w:rPr>
        <w:t>3</w:t>
      </w:r>
      <w:r>
        <w:rPr>
          <w:rFonts w:hint="eastAsia" w:cs="宋体" w:asciiTheme="minorEastAsia" w:hAnsiTheme="minorEastAsia"/>
          <w:snapToGrid w:val="0"/>
          <w:color w:val="000000"/>
          <w:spacing w:val="-4"/>
          <w:kern w:val="0"/>
          <w:sz w:val="28"/>
          <w:szCs w:val="28"/>
          <w:lang w:eastAsia="en-US"/>
        </w:rPr>
        <w:t>或以上风险承受能力，金融期货、金融期权、商品期权、原油期货、原油期权要求C4或以上风险承受能力。</w:t>
      </w:r>
      <w:bookmarkEnd w:id="70"/>
    </w:p>
    <w:p w14:paraId="46B05D38">
      <w:pPr>
        <w:pStyle w:val="22"/>
        <w:numPr>
          <w:ilvl w:val="0"/>
          <w:numId w:val="1"/>
        </w:numPr>
        <w:spacing w:line="360" w:lineRule="auto"/>
        <w:ind w:firstLineChars="0"/>
        <w:outlineLvl w:val="0"/>
        <w:rPr>
          <w:rFonts w:hint="eastAsia" w:cs="宋体" w:asciiTheme="minorEastAsia" w:hAnsiTheme="minorEastAsia"/>
          <w:b/>
          <w:snapToGrid w:val="0"/>
          <w:color w:val="000000"/>
          <w:spacing w:val="-4"/>
          <w:kern w:val="0"/>
          <w:sz w:val="28"/>
          <w:szCs w:val="28"/>
        </w:rPr>
      </w:pPr>
      <w:bookmarkStart w:id="71" w:name="_Toc18394"/>
      <w:r>
        <w:rPr>
          <w:rFonts w:hint="eastAsia" w:cs="宋体" w:asciiTheme="minorEastAsia" w:hAnsiTheme="minorEastAsia"/>
          <w:b/>
          <w:snapToGrid w:val="0"/>
          <w:color w:val="000000"/>
          <w:spacing w:val="-4"/>
          <w:kern w:val="0"/>
          <w:sz w:val="28"/>
          <w:szCs w:val="28"/>
          <w:lang w:eastAsia="zh-CN"/>
        </w:rPr>
        <w:t>协议上的</w:t>
      </w:r>
      <w:r>
        <w:rPr>
          <w:rFonts w:hint="eastAsia" w:cs="宋体" w:asciiTheme="minorEastAsia" w:hAnsiTheme="minorEastAsia"/>
          <w:b/>
          <w:snapToGrid w:val="0"/>
          <w:color w:val="000000"/>
          <w:spacing w:val="-4"/>
          <w:kern w:val="0"/>
          <w:sz w:val="28"/>
          <w:szCs w:val="28"/>
          <w:lang w:eastAsia="en-US"/>
        </w:rPr>
        <w:t>划线部分如何抄写签名如何签写</w:t>
      </w:r>
      <w:bookmarkEnd w:id="71"/>
    </w:p>
    <w:p w14:paraId="0CA6EABD">
      <w:pPr>
        <w:pStyle w:val="22"/>
        <w:numPr>
          <w:ilvl w:val="0"/>
          <w:numId w:val="0"/>
        </w:numPr>
        <w:spacing w:line="360" w:lineRule="auto"/>
        <w:ind w:leftChars="0"/>
        <w:outlineLvl w:val="0"/>
        <w:rPr>
          <w:rFonts w:hint="eastAsia" w:cs="宋体" w:asciiTheme="minorEastAsia" w:hAnsiTheme="minorEastAsia"/>
          <w:b/>
          <w:snapToGrid w:val="0"/>
          <w:color w:val="000000"/>
          <w:spacing w:val="-4"/>
          <w:kern w:val="0"/>
          <w:sz w:val="28"/>
          <w:szCs w:val="28"/>
          <w:lang w:val="en-US" w:eastAsia="zh-CN"/>
        </w:rPr>
      </w:pPr>
      <w:bookmarkStart w:id="72" w:name="_Toc8838"/>
      <w:bookmarkStart w:id="73" w:name="_Toc18804"/>
      <w:bookmarkStart w:id="74" w:name="_Toc142640271"/>
      <w:r>
        <w:rPr>
          <w:rFonts w:hint="eastAsia" w:cs="宋体" w:asciiTheme="minorEastAsia" w:hAnsiTheme="minorEastAsia"/>
          <w:snapToGrid w:val="0"/>
          <w:color w:val="000000"/>
          <w:spacing w:val="-4"/>
          <w:kern w:val="0"/>
          <w:sz w:val="28"/>
          <w:szCs w:val="28"/>
          <w:lang w:eastAsia="en-US"/>
        </w:rPr>
        <w:t>划线及签名部分均无需填写，只需完整阅读即可。</w:t>
      </w:r>
      <w:bookmarkEnd w:id="72"/>
      <w:bookmarkEnd w:id="73"/>
      <w:bookmarkEnd w:id="74"/>
    </w:p>
    <w:p w14:paraId="1A1CF916">
      <w:pPr>
        <w:pStyle w:val="22"/>
        <w:numPr>
          <w:ilvl w:val="0"/>
          <w:numId w:val="1"/>
        </w:numPr>
        <w:spacing w:line="360" w:lineRule="auto"/>
        <w:ind w:firstLineChars="0"/>
        <w:outlineLvl w:val="0"/>
        <w:rPr>
          <w:rFonts w:hint="eastAsia" w:cs="宋体" w:asciiTheme="minorEastAsia" w:hAnsiTheme="minorEastAsia"/>
          <w:b/>
          <w:snapToGrid w:val="0"/>
          <w:color w:val="000000"/>
          <w:spacing w:val="-4"/>
          <w:kern w:val="0"/>
          <w:sz w:val="28"/>
          <w:szCs w:val="28"/>
          <w:lang w:val="en-US" w:eastAsia="zh-CN"/>
        </w:rPr>
      </w:pPr>
      <w:bookmarkStart w:id="75" w:name="_Toc5032"/>
      <w:r>
        <w:rPr>
          <w:rFonts w:hint="eastAsia" w:cs="宋体" w:asciiTheme="minorEastAsia" w:hAnsiTheme="minorEastAsia"/>
          <w:b/>
          <w:snapToGrid w:val="0"/>
          <w:color w:val="000000"/>
          <w:spacing w:val="-4"/>
          <w:kern w:val="0"/>
          <w:sz w:val="28"/>
          <w:szCs w:val="28"/>
          <w:lang w:eastAsia="en-US"/>
        </w:rPr>
        <w:t>为何一直提示阅读协议</w:t>
      </w:r>
      <w:bookmarkEnd w:id="75"/>
    </w:p>
    <w:p w14:paraId="68739FBE">
      <w:pPr>
        <w:pStyle w:val="22"/>
        <w:numPr>
          <w:ilvl w:val="0"/>
          <w:numId w:val="0"/>
        </w:numPr>
        <w:spacing w:line="360" w:lineRule="auto"/>
        <w:ind w:leftChars="0"/>
        <w:outlineLvl w:val="0"/>
        <w:rPr>
          <w:rFonts w:hint="eastAsia" w:cs="宋体" w:asciiTheme="minorEastAsia" w:hAnsiTheme="minorEastAsia"/>
          <w:b/>
          <w:snapToGrid w:val="0"/>
          <w:color w:val="000000"/>
          <w:spacing w:val="-4"/>
          <w:kern w:val="0"/>
          <w:sz w:val="28"/>
          <w:szCs w:val="28"/>
          <w:lang w:val="en-US" w:eastAsia="zh-CN"/>
        </w:rPr>
      </w:pPr>
      <w:bookmarkStart w:id="76" w:name="_Toc15683"/>
      <w:r>
        <w:rPr>
          <w:rFonts w:hint="eastAsia" w:cs="宋体" w:asciiTheme="minorEastAsia" w:hAnsiTheme="minorEastAsia"/>
          <w:snapToGrid w:val="0"/>
          <w:color w:val="000000"/>
          <w:spacing w:val="-4"/>
          <w:kern w:val="0"/>
          <w:sz w:val="28"/>
          <w:szCs w:val="28"/>
          <w:lang w:eastAsia="en-US"/>
        </w:rPr>
        <w:t>为保护投资者各项基本权利，需完整阅读各项协议，否则无法进行下一步操作。</w:t>
      </w:r>
      <w:bookmarkEnd w:id="76"/>
    </w:p>
    <w:p w14:paraId="43EC491C">
      <w:pPr>
        <w:pStyle w:val="22"/>
        <w:numPr>
          <w:ilvl w:val="0"/>
          <w:numId w:val="1"/>
        </w:numPr>
        <w:spacing w:line="360" w:lineRule="auto"/>
        <w:ind w:firstLineChars="0"/>
        <w:outlineLvl w:val="0"/>
        <w:rPr>
          <w:rFonts w:hint="eastAsia" w:cs="宋体" w:asciiTheme="minorEastAsia" w:hAnsiTheme="minorEastAsia"/>
          <w:b/>
          <w:snapToGrid w:val="0"/>
          <w:color w:val="000000"/>
          <w:spacing w:val="-4"/>
          <w:kern w:val="0"/>
          <w:sz w:val="28"/>
          <w:szCs w:val="28"/>
          <w:lang w:val="en-US" w:eastAsia="zh-CN"/>
        </w:rPr>
      </w:pPr>
      <w:bookmarkStart w:id="77" w:name="_Toc2081"/>
      <w:r>
        <w:rPr>
          <w:rFonts w:hint="eastAsia" w:cs="宋体" w:asciiTheme="minorEastAsia" w:hAnsiTheme="minorEastAsia"/>
          <w:b/>
          <w:snapToGrid w:val="0"/>
          <w:color w:val="000000"/>
          <w:spacing w:val="-4"/>
          <w:kern w:val="0"/>
          <w:sz w:val="28"/>
          <w:szCs w:val="28"/>
          <w:lang w:eastAsia="en-US"/>
        </w:rPr>
        <w:t>视频接通后没有画面和声音是什么原因造成的</w:t>
      </w:r>
      <w:bookmarkEnd w:id="77"/>
    </w:p>
    <w:p w14:paraId="2E9B618A">
      <w:pPr>
        <w:pStyle w:val="22"/>
        <w:numPr>
          <w:ilvl w:val="0"/>
          <w:numId w:val="0"/>
        </w:numPr>
        <w:spacing w:line="360" w:lineRule="auto"/>
        <w:ind w:leftChars="0"/>
        <w:outlineLvl w:val="0"/>
        <w:rPr>
          <w:rFonts w:hint="eastAsia" w:cs="宋体" w:asciiTheme="minorEastAsia" w:hAnsiTheme="minorEastAsia"/>
          <w:b/>
          <w:snapToGrid w:val="0"/>
          <w:color w:val="000000"/>
          <w:spacing w:val="-4"/>
          <w:kern w:val="0"/>
          <w:sz w:val="28"/>
          <w:szCs w:val="28"/>
          <w:lang w:val="en-US" w:eastAsia="zh-CN"/>
        </w:rPr>
      </w:pPr>
      <w:bookmarkStart w:id="78" w:name="_Toc21606"/>
      <w:r>
        <w:rPr>
          <w:rFonts w:hint="eastAsia" w:cs="宋体" w:asciiTheme="minorEastAsia" w:hAnsiTheme="minorEastAsia"/>
          <w:snapToGrid w:val="0"/>
          <w:color w:val="000000"/>
          <w:spacing w:val="-4"/>
          <w:kern w:val="0"/>
          <w:sz w:val="28"/>
          <w:szCs w:val="28"/>
          <w:lang w:eastAsia="en-US"/>
        </w:rPr>
        <w:t>一般是由于客户在安装软件时没有打开摄像头或麦克风使用权限，可建议客户在手机设置功能内修改相关权限并重试。</w:t>
      </w:r>
      <w:bookmarkEnd w:id="78"/>
    </w:p>
    <w:p w14:paraId="22538F46">
      <w:pPr>
        <w:pStyle w:val="22"/>
        <w:numPr>
          <w:ilvl w:val="0"/>
          <w:numId w:val="1"/>
        </w:numPr>
        <w:spacing w:line="360" w:lineRule="auto"/>
        <w:ind w:firstLineChars="0"/>
        <w:outlineLvl w:val="0"/>
        <w:rPr>
          <w:rFonts w:hint="eastAsia" w:cs="宋体" w:asciiTheme="minorEastAsia" w:hAnsiTheme="minorEastAsia"/>
          <w:b/>
          <w:snapToGrid w:val="0"/>
          <w:color w:val="000000"/>
          <w:spacing w:val="-4"/>
          <w:kern w:val="0"/>
          <w:sz w:val="28"/>
          <w:szCs w:val="28"/>
          <w:lang w:val="en-US" w:eastAsia="zh-CN"/>
        </w:rPr>
      </w:pPr>
      <w:bookmarkStart w:id="79" w:name="_Toc7466"/>
      <w:r>
        <w:rPr>
          <w:rFonts w:hint="eastAsia" w:cs="宋体" w:asciiTheme="minorEastAsia" w:hAnsiTheme="minorEastAsia"/>
          <w:b/>
          <w:snapToGrid w:val="0"/>
          <w:color w:val="000000"/>
          <w:spacing w:val="-4"/>
          <w:kern w:val="0"/>
          <w:sz w:val="28"/>
          <w:szCs w:val="28"/>
          <w:lang w:eastAsia="en-US"/>
        </w:rPr>
        <w:t>连接视频手机就出现闪退是什么原因造成的</w:t>
      </w:r>
      <w:bookmarkEnd w:id="79"/>
    </w:p>
    <w:p w14:paraId="435D4595">
      <w:pPr>
        <w:pStyle w:val="22"/>
        <w:numPr>
          <w:ilvl w:val="0"/>
          <w:numId w:val="0"/>
        </w:numPr>
        <w:spacing w:line="360" w:lineRule="auto"/>
        <w:ind w:leftChars="0"/>
        <w:outlineLvl w:val="0"/>
        <w:rPr>
          <w:rFonts w:hint="eastAsia" w:cs="宋体" w:asciiTheme="minorEastAsia" w:hAnsiTheme="minorEastAsia"/>
          <w:b/>
          <w:snapToGrid w:val="0"/>
          <w:color w:val="000000"/>
          <w:spacing w:val="-4"/>
          <w:kern w:val="0"/>
          <w:sz w:val="28"/>
          <w:szCs w:val="28"/>
          <w:lang w:val="en-US" w:eastAsia="zh-CN"/>
        </w:rPr>
      </w:pPr>
      <w:bookmarkStart w:id="80" w:name="_Toc23959"/>
      <w:r>
        <w:rPr>
          <w:rFonts w:hint="eastAsia" w:cs="宋体" w:asciiTheme="minorEastAsia" w:hAnsiTheme="minorEastAsia"/>
          <w:snapToGrid w:val="0"/>
          <w:color w:val="000000"/>
          <w:spacing w:val="-4"/>
          <w:kern w:val="0"/>
          <w:sz w:val="28"/>
          <w:szCs w:val="28"/>
          <w:lang w:eastAsia="en-US"/>
        </w:rPr>
        <w:t>一般由于手机系统问题（android版本过低或ios版本过高等），或手机运行内存占用过高造成，可建议客户尝试更换手机或关闭其他后台运行软件继续进行开户操作。</w:t>
      </w:r>
      <w:bookmarkEnd w:id="80"/>
      <w:r>
        <w:rPr>
          <w:rFonts w:hint="eastAsia" w:cs="宋体" w:asciiTheme="minorEastAsia" w:hAnsiTheme="minorEastAsia"/>
          <w:b/>
          <w:snapToGrid w:val="0"/>
          <w:color w:val="000000"/>
          <w:spacing w:val="-4"/>
          <w:kern w:val="0"/>
          <w:sz w:val="28"/>
          <w:szCs w:val="28"/>
          <w:lang w:val="en-US" w:eastAsia="zh-CN"/>
        </w:rPr>
        <w:t xml:space="preserve"> </w:t>
      </w:r>
    </w:p>
    <w:p w14:paraId="61559443">
      <w:pPr>
        <w:pStyle w:val="22"/>
        <w:numPr>
          <w:ilvl w:val="0"/>
          <w:numId w:val="1"/>
        </w:numPr>
        <w:spacing w:line="360" w:lineRule="auto"/>
        <w:ind w:firstLineChars="0"/>
        <w:outlineLvl w:val="0"/>
        <w:rPr>
          <w:rFonts w:hint="eastAsia" w:cs="宋体" w:asciiTheme="minorEastAsia" w:hAnsiTheme="minorEastAsia"/>
          <w:b/>
          <w:snapToGrid w:val="0"/>
          <w:color w:val="000000"/>
          <w:spacing w:val="-4"/>
          <w:kern w:val="0"/>
          <w:sz w:val="28"/>
          <w:szCs w:val="28"/>
          <w:lang w:val="en-US" w:eastAsia="zh-CN"/>
        </w:rPr>
      </w:pPr>
      <w:bookmarkStart w:id="81" w:name="_Toc8659"/>
      <w:r>
        <w:rPr>
          <w:rFonts w:hint="eastAsia" w:cs="宋体" w:asciiTheme="minorEastAsia" w:hAnsiTheme="minorEastAsia"/>
          <w:b/>
          <w:snapToGrid w:val="0"/>
          <w:color w:val="000000"/>
          <w:spacing w:val="-4"/>
          <w:kern w:val="0"/>
          <w:sz w:val="28"/>
          <w:szCs w:val="28"/>
          <w:lang w:eastAsia="en-US"/>
        </w:rPr>
        <w:t>数字证书密码是什么格式</w:t>
      </w:r>
      <w:bookmarkEnd w:id="81"/>
    </w:p>
    <w:p w14:paraId="278325B6">
      <w:pPr>
        <w:pStyle w:val="22"/>
        <w:numPr>
          <w:ilvl w:val="0"/>
          <w:numId w:val="0"/>
        </w:numPr>
        <w:spacing w:line="360" w:lineRule="auto"/>
        <w:ind w:leftChars="0"/>
        <w:outlineLvl w:val="0"/>
        <w:rPr>
          <w:rFonts w:hint="eastAsia" w:cs="宋体" w:asciiTheme="minorEastAsia" w:hAnsiTheme="minorEastAsia"/>
          <w:b/>
          <w:snapToGrid w:val="0"/>
          <w:color w:val="000000"/>
          <w:spacing w:val="-4"/>
          <w:kern w:val="0"/>
          <w:sz w:val="28"/>
          <w:szCs w:val="28"/>
          <w:lang w:val="en-US" w:eastAsia="zh-CN"/>
        </w:rPr>
      </w:pPr>
      <w:bookmarkStart w:id="82" w:name="_Toc903"/>
      <w:r>
        <w:rPr>
          <w:rFonts w:hint="eastAsia" w:cs="宋体" w:asciiTheme="minorEastAsia" w:hAnsiTheme="minorEastAsia"/>
          <w:snapToGrid w:val="0"/>
          <w:color w:val="000000"/>
          <w:spacing w:val="-4"/>
          <w:kern w:val="0"/>
          <w:sz w:val="28"/>
          <w:szCs w:val="28"/>
          <w:lang w:eastAsia="en-US"/>
        </w:rPr>
        <w:t>目前监控中心开户系统只支持6-8位纯数字密码。</w:t>
      </w:r>
      <w:bookmarkEnd w:id="82"/>
    </w:p>
    <w:p w14:paraId="10B3AFD6">
      <w:pPr>
        <w:pStyle w:val="22"/>
        <w:numPr>
          <w:ilvl w:val="0"/>
          <w:numId w:val="1"/>
        </w:numPr>
        <w:spacing w:line="360" w:lineRule="auto"/>
        <w:ind w:firstLineChars="0"/>
        <w:outlineLvl w:val="0"/>
        <w:rPr>
          <w:rFonts w:hint="eastAsia" w:cs="宋体" w:asciiTheme="minorEastAsia" w:hAnsiTheme="minorEastAsia"/>
          <w:b/>
          <w:snapToGrid w:val="0"/>
          <w:color w:val="000000"/>
          <w:spacing w:val="-4"/>
          <w:kern w:val="0"/>
          <w:sz w:val="28"/>
          <w:szCs w:val="28"/>
          <w:lang w:val="en-US" w:eastAsia="zh-CN"/>
        </w:rPr>
      </w:pPr>
      <w:bookmarkStart w:id="83" w:name="_Toc22116"/>
      <w:r>
        <w:rPr>
          <w:rFonts w:hint="eastAsia" w:cs="宋体" w:asciiTheme="minorEastAsia" w:hAnsiTheme="minorEastAsia"/>
          <w:b/>
          <w:snapToGrid w:val="0"/>
          <w:color w:val="000000"/>
          <w:spacing w:val="-4"/>
          <w:kern w:val="0"/>
          <w:sz w:val="28"/>
          <w:szCs w:val="28"/>
          <w:lang w:eastAsia="en-US"/>
        </w:rPr>
        <w:t>如何下载数字证书下载失败是什么原因造成</w:t>
      </w:r>
      <w:bookmarkEnd w:id="83"/>
    </w:p>
    <w:p w14:paraId="6F4FDDED">
      <w:pPr>
        <w:pStyle w:val="22"/>
        <w:numPr>
          <w:ilvl w:val="0"/>
          <w:numId w:val="0"/>
        </w:numPr>
        <w:spacing w:line="360" w:lineRule="auto"/>
        <w:ind w:leftChars="0"/>
        <w:outlineLvl w:val="0"/>
        <w:rPr>
          <w:rFonts w:hint="eastAsia" w:cs="宋体" w:asciiTheme="minorEastAsia" w:hAnsiTheme="minorEastAsia"/>
          <w:b/>
          <w:snapToGrid w:val="0"/>
          <w:color w:val="000000"/>
          <w:spacing w:val="-4"/>
          <w:kern w:val="0"/>
          <w:sz w:val="28"/>
          <w:szCs w:val="28"/>
          <w:lang w:val="en-US" w:eastAsia="zh-CN"/>
        </w:rPr>
      </w:pPr>
      <w:bookmarkStart w:id="84" w:name="_Toc11341"/>
      <w:r>
        <w:rPr>
          <w:rFonts w:hint="eastAsia" w:cs="宋体" w:asciiTheme="minorEastAsia" w:hAnsiTheme="minorEastAsia"/>
          <w:snapToGrid w:val="0"/>
          <w:color w:val="000000"/>
          <w:spacing w:val="-4"/>
          <w:kern w:val="0"/>
          <w:sz w:val="28"/>
          <w:szCs w:val="28"/>
          <w:lang w:eastAsia="en-US"/>
        </w:rPr>
        <w:t>无需手动操作，（需确认是否是自动下载安装）视频验证通过后下一步自动下载数字证书。数字证书下载失败通常由于网络通讯环境原因造成，同样可建议客户尝试换到移动信号通畅的地方（室外、窗边等），或由无线网络连接切换移动通信网络重新下载数字证书。</w:t>
      </w:r>
      <w:bookmarkEnd w:id="84"/>
    </w:p>
    <w:p w14:paraId="1BC3F74D">
      <w:pPr>
        <w:pStyle w:val="22"/>
        <w:numPr>
          <w:ilvl w:val="0"/>
          <w:numId w:val="1"/>
        </w:numPr>
        <w:spacing w:line="360" w:lineRule="auto"/>
        <w:ind w:firstLineChars="0"/>
        <w:outlineLvl w:val="0"/>
        <w:rPr>
          <w:rFonts w:hint="eastAsia" w:cs="宋体" w:asciiTheme="minorEastAsia" w:hAnsiTheme="minorEastAsia"/>
          <w:b/>
          <w:snapToGrid w:val="0"/>
          <w:color w:val="000000"/>
          <w:spacing w:val="-4"/>
          <w:kern w:val="0"/>
          <w:sz w:val="28"/>
          <w:szCs w:val="28"/>
          <w:lang w:val="en-US" w:eastAsia="zh-CN"/>
        </w:rPr>
      </w:pPr>
      <w:bookmarkStart w:id="85" w:name="_Toc23492"/>
      <w:r>
        <w:rPr>
          <w:rFonts w:hint="eastAsia" w:cs="宋体" w:asciiTheme="minorEastAsia" w:hAnsiTheme="minorEastAsia"/>
          <w:b/>
          <w:snapToGrid w:val="0"/>
          <w:color w:val="000000"/>
          <w:spacing w:val="-4"/>
          <w:kern w:val="0"/>
          <w:sz w:val="28"/>
          <w:szCs w:val="28"/>
          <w:lang w:eastAsia="en-US"/>
        </w:rPr>
        <w:t>忘记数字证书密码怎么办</w:t>
      </w:r>
      <w:bookmarkEnd w:id="85"/>
    </w:p>
    <w:p w14:paraId="00B12C08">
      <w:pPr>
        <w:pStyle w:val="22"/>
        <w:numPr>
          <w:ilvl w:val="0"/>
          <w:numId w:val="0"/>
        </w:numPr>
        <w:spacing w:line="360" w:lineRule="auto"/>
        <w:ind w:leftChars="0"/>
        <w:outlineLvl w:val="0"/>
        <w:rPr>
          <w:rFonts w:hint="eastAsia" w:cs="宋体" w:asciiTheme="minorEastAsia" w:hAnsiTheme="minorEastAsia"/>
          <w:b/>
          <w:snapToGrid w:val="0"/>
          <w:color w:val="000000"/>
          <w:spacing w:val="-4"/>
          <w:kern w:val="0"/>
          <w:sz w:val="28"/>
          <w:szCs w:val="28"/>
          <w:lang w:val="en-US" w:eastAsia="zh-CN"/>
        </w:rPr>
      </w:pPr>
      <w:bookmarkStart w:id="86" w:name="_Toc9145"/>
      <w:r>
        <w:rPr>
          <w:rFonts w:hint="eastAsia" w:cs="宋体" w:asciiTheme="minorEastAsia" w:hAnsiTheme="minorEastAsia"/>
          <w:snapToGrid w:val="0"/>
          <w:color w:val="000000"/>
          <w:spacing w:val="-4"/>
          <w:kern w:val="0"/>
          <w:sz w:val="28"/>
          <w:szCs w:val="28"/>
          <w:lang w:eastAsia="en-US"/>
        </w:rPr>
        <w:t>客户可通过点击输入数字证书密码页面左下方【重新申请】重</w:t>
      </w:r>
      <w:r>
        <w:rPr>
          <w:rFonts w:hint="eastAsia" w:cs="宋体" w:asciiTheme="minorEastAsia" w:hAnsiTheme="minorEastAsia"/>
          <w:snapToGrid w:val="0"/>
          <w:color w:val="000000"/>
          <w:spacing w:val="-4"/>
          <w:kern w:val="0"/>
          <w:sz w:val="28"/>
          <w:szCs w:val="28"/>
          <w:lang w:eastAsia="en-US"/>
        </w:rPr>
        <w:cr/>
      </w:r>
      <w:r>
        <w:rPr>
          <w:rFonts w:hint="eastAsia" w:cs="宋体" w:asciiTheme="minorEastAsia" w:hAnsiTheme="minorEastAsia"/>
          <w:snapToGrid w:val="0"/>
          <w:color w:val="000000"/>
          <w:spacing w:val="-4"/>
          <w:kern w:val="0"/>
          <w:sz w:val="28"/>
          <w:szCs w:val="28"/>
          <w:lang w:eastAsia="en-US"/>
        </w:rPr>
        <w:t>新申请数字证书。</w:t>
      </w:r>
      <w:bookmarkEnd w:id="86"/>
    </w:p>
    <w:p w14:paraId="39B7FBCB">
      <w:pPr>
        <w:pStyle w:val="22"/>
        <w:numPr>
          <w:ilvl w:val="0"/>
          <w:numId w:val="1"/>
        </w:numPr>
        <w:spacing w:line="360" w:lineRule="auto"/>
        <w:ind w:firstLineChars="0"/>
        <w:outlineLvl w:val="0"/>
        <w:rPr>
          <w:rFonts w:hint="eastAsia" w:cs="宋体" w:asciiTheme="minorEastAsia" w:hAnsiTheme="minorEastAsia"/>
          <w:b/>
          <w:snapToGrid w:val="0"/>
          <w:color w:val="000000"/>
          <w:spacing w:val="-4"/>
          <w:kern w:val="0"/>
          <w:sz w:val="28"/>
          <w:szCs w:val="28"/>
          <w:lang w:val="en-US" w:eastAsia="zh-CN"/>
        </w:rPr>
      </w:pPr>
      <w:bookmarkStart w:id="87" w:name="_Toc19195"/>
      <w:r>
        <w:rPr>
          <w:rFonts w:hint="eastAsia" w:cs="宋体" w:asciiTheme="minorEastAsia" w:hAnsiTheme="minorEastAsia"/>
          <w:b/>
          <w:snapToGrid w:val="0"/>
          <w:color w:val="000000"/>
          <w:spacing w:val="-4"/>
          <w:kern w:val="0"/>
          <w:sz w:val="28"/>
          <w:szCs w:val="28"/>
          <w:lang w:eastAsia="en-US"/>
        </w:rPr>
        <w:t>在线回访无法通过是什么原因造成的</w:t>
      </w:r>
      <w:bookmarkEnd w:id="87"/>
    </w:p>
    <w:p w14:paraId="53B03889">
      <w:pPr>
        <w:pStyle w:val="22"/>
        <w:numPr>
          <w:ilvl w:val="0"/>
          <w:numId w:val="0"/>
        </w:numPr>
        <w:spacing w:line="360" w:lineRule="auto"/>
        <w:ind w:leftChars="0"/>
        <w:outlineLvl w:val="0"/>
        <w:rPr>
          <w:rFonts w:hint="eastAsia" w:cs="宋体" w:asciiTheme="minorEastAsia" w:hAnsiTheme="minorEastAsia"/>
          <w:b/>
          <w:snapToGrid w:val="0"/>
          <w:color w:val="000000"/>
          <w:spacing w:val="-4"/>
          <w:kern w:val="0"/>
          <w:sz w:val="28"/>
          <w:szCs w:val="28"/>
          <w:lang w:val="en-US" w:eastAsia="zh-CN"/>
        </w:rPr>
      </w:pPr>
      <w:bookmarkStart w:id="88" w:name="_Toc4423"/>
      <w:r>
        <w:rPr>
          <w:rFonts w:hint="eastAsia" w:cs="宋体" w:asciiTheme="minorEastAsia" w:hAnsiTheme="minorEastAsia"/>
          <w:snapToGrid w:val="0"/>
          <w:color w:val="000000"/>
          <w:spacing w:val="-4"/>
          <w:kern w:val="0"/>
          <w:sz w:val="28"/>
          <w:szCs w:val="28"/>
          <w:lang w:eastAsia="en-US"/>
        </w:rPr>
        <w:t>在线回访答案均需符合公司开户规定，否则无法开立期货账户。</w:t>
      </w:r>
      <w:bookmarkEnd w:id="88"/>
    </w:p>
    <w:p w14:paraId="42484A8D">
      <w:pPr>
        <w:pStyle w:val="22"/>
        <w:numPr>
          <w:ilvl w:val="0"/>
          <w:numId w:val="1"/>
        </w:numPr>
        <w:spacing w:line="360" w:lineRule="auto"/>
        <w:ind w:firstLineChars="0"/>
        <w:outlineLvl w:val="0"/>
        <w:rPr>
          <w:rFonts w:hint="eastAsia" w:cs="宋体" w:asciiTheme="minorEastAsia" w:hAnsiTheme="minorEastAsia"/>
          <w:b/>
          <w:snapToGrid w:val="0"/>
          <w:color w:val="000000"/>
          <w:spacing w:val="-4"/>
          <w:kern w:val="0"/>
          <w:sz w:val="28"/>
          <w:szCs w:val="28"/>
          <w:lang w:val="en-US" w:eastAsia="zh-CN"/>
        </w:rPr>
      </w:pPr>
      <w:bookmarkStart w:id="89" w:name="_Toc7646"/>
      <w:r>
        <w:rPr>
          <w:rFonts w:hint="eastAsia" w:cs="宋体" w:asciiTheme="minorEastAsia" w:hAnsiTheme="minorEastAsia"/>
          <w:b/>
          <w:snapToGrid w:val="0"/>
          <w:color w:val="000000"/>
          <w:spacing w:val="-4"/>
          <w:kern w:val="0"/>
          <w:sz w:val="28"/>
          <w:szCs w:val="28"/>
          <w:lang w:val="en-US" w:eastAsia="zh-CN"/>
        </w:rPr>
        <w:t>法人（包含特殊法人）开户问题</w:t>
      </w:r>
      <w:bookmarkEnd w:id="89"/>
    </w:p>
    <w:p w14:paraId="7218EDF4">
      <w:pPr>
        <w:pStyle w:val="22"/>
        <w:numPr>
          <w:ilvl w:val="0"/>
          <w:numId w:val="0"/>
        </w:numPr>
        <w:spacing w:line="360" w:lineRule="auto"/>
        <w:ind w:leftChars="0"/>
        <w:outlineLvl w:val="0"/>
        <w:rPr>
          <w:rFonts w:hint="eastAsia" w:cs="宋体" w:asciiTheme="minorEastAsia" w:hAnsiTheme="minorEastAsia"/>
          <w:snapToGrid w:val="0"/>
          <w:color w:val="000000"/>
          <w:spacing w:val="-4"/>
          <w:kern w:val="0"/>
          <w:sz w:val="28"/>
          <w:szCs w:val="28"/>
          <w:lang w:val="en-US" w:eastAsia="zh-CN"/>
        </w:rPr>
      </w:pPr>
      <w:bookmarkStart w:id="90" w:name="_Toc24211"/>
      <w:r>
        <w:rPr>
          <w:rFonts w:hint="eastAsia" w:cs="宋体" w:asciiTheme="minorEastAsia" w:hAnsiTheme="minorEastAsia"/>
          <w:snapToGrid w:val="0"/>
          <w:color w:val="000000"/>
          <w:spacing w:val="-4"/>
          <w:kern w:val="0"/>
          <w:sz w:val="28"/>
          <w:szCs w:val="28"/>
          <w:lang w:val="en-US" w:eastAsia="zh-CN"/>
        </w:rPr>
        <w:t>法人区别于自然人，属于组织、集体。故需提供营业执照、法定代表人（授权人、指令下单人、资金调拨人等）身份证件、法人结算银行证明等有效材料并且临柜办理开户业务。另外，法人开通特殊投资品种要求和自然人也有一定区别。</w:t>
      </w:r>
      <w:bookmarkEnd w:id="90"/>
    </w:p>
    <w:p w14:paraId="142A4716">
      <w:pPr>
        <w:pStyle w:val="22"/>
        <w:numPr>
          <w:ilvl w:val="0"/>
          <w:numId w:val="1"/>
        </w:numPr>
        <w:spacing w:line="360" w:lineRule="auto"/>
        <w:ind w:firstLineChars="0"/>
        <w:outlineLvl w:val="0"/>
        <w:rPr>
          <w:rFonts w:hint="eastAsia" w:cs="宋体" w:asciiTheme="minorEastAsia" w:hAnsiTheme="minorEastAsia"/>
          <w:b/>
          <w:snapToGrid w:val="0"/>
          <w:color w:val="000000"/>
          <w:spacing w:val="-4"/>
          <w:kern w:val="0"/>
          <w:sz w:val="28"/>
          <w:szCs w:val="28"/>
          <w:lang w:val="en-US" w:eastAsia="zh-CN"/>
        </w:rPr>
      </w:pPr>
      <w:bookmarkStart w:id="91" w:name="_Toc6710"/>
      <w:r>
        <w:rPr>
          <w:rFonts w:hint="eastAsia" w:cs="宋体" w:asciiTheme="minorEastAsia" w:hAnsiTheme="minorEastAsia"/>
          <w:b/>
          <w:snapToGrid w:val="0"/>
          <w:color w:val="000000"/>
          <w:spacing w:val="-4"/>
          <w:kern w:val="0"/>
          <w:sz w:val="28"/>
          <w:szCs w:val="28"/>
          <w:lang w:eastAsia="en-US"/>
        </w:rPr>
        <w:t>开户后提示待审核是什么原因</w:t>
      </w:r>
      <w:bookmarkEnd w:id="91"/>
    </w:p>
    <w:p w14:paraId="2C1897A7">
      <w:pPr>
        <w:pStyle w:val="22"/>
        <w:numPr>
          <w:ilvl w:val="0"/>
          <w:numId w:val="0"/>
        </w:numPr>
        <w:spacing w:line="360" w:lineRule="auto"/>
        <w:ind w:leftChars="0"/>
        <w:outlineLvl w:val="0"/>
        <w:rPr>
          <w:rFonts w:hint="eastAsia" w:cs="宋体" w:asciiTheme="minorEastAsia" w:hAnsiTheme="minorEastAsia"/>
          <w:b/>
          <w:snapToGrid w:val="0"/>
          <w:color w:val="000000"/>
          <w:spacing w:val="-4"/>
          <w:kern w:val="0"/>
          <w:sz w:val="28"/>
          <w:szCs w:val="28"/>
          <w:lang w:val="en-US" w:eastAsia="zh-CN"/>
        </w:rPr>
      </w:pPr>
      <w:bookmarkStart w:id="92" w:name="_Toc6779"/>
      <w:r>
        <w:rPr>
          <w:rFonts w:hint="eastAsia" w:cs="宋体" w:asciiTheme="minorEastAsia" w:hAnsiTheme="minorEastAsia"/>
          <w:snapToGrid w:val="0"/>
          <w:color w:val="000000"/>
          <w:spacing w:val="-4"/>
          <w:kern w:val="0"/>
          <w:sz w:val="28"/>
          <w:szCs w:val="28"/>
          <w:lang w:eastAsia="en-US"/>
        </w:rPr>
        <w:t>开户业务成功提交申请后，我司将于1-2个交易日内审核完成，审核结果将以短信或电话形式通知客户。</w:t>
      </w:r>
      <w:bookmarkEnd w:id="92"/>
    </w:p>
    <w:p w14:paraId="61D4975A">
      <w:pPr>
        <w:pStyle w:val="22"/>
        <w:numPr>
          <w:ilvl w:val="0"/>
          <w:numId w:val="1"/>
        </w:numPr>
        <w:spacing w:line="360" w:lineRule="auto"/>
        <w:ind w:firstLineChars="0"/>
        <w:outlineLvl w:val="0"/>
        <w:rPr>
          <w:rFonts w:hint="eastAsia" w:cs="宋体" w:asciiTheme="minorEastAsia" w:hAnsiTheme="minorEastAsia"/>
          <w:b/>
          <w:snapToGrid w:val="0"/>
          <w:color w:val="000000"/>
          <w:spacing w:val="-4"/>
          <w:kern w:val="0"/>
          <w:sz w:val="28"/>
          <w:szCs w:val="28"/>
          <w:lang w:val="en-US" w:eastAsia="zh-CN"/>
        </w:rPr>
      </w:pPr>
      <w:bookmarkStart w:id="93" w:name="_Toc1625"/>
      <w:r>
        <w:rPr>
          <w:rFonts w:hint="eastAsia" w:cs="宋体" w:asciiTheme="minorEastAsia" w:hAnsiTheme="minorEastAsia"/>
          <w:b/>
          <w:snapToGrid w:val="0"/>
          <w:color w:val="000000"/>
          <w:spacing w:val="-4"/>
          <w:kern w:val="0"/>
          <w:sz w:val="28"/>
          <w:szCs w:val="28"/>
          <w:lang w:eastAsia="en-US"/>
        </w:rPr>
        <w:t>开户进度如何查询</w:t>
      </w:r>
      <w:bookmarkEnd w:id="93"/>
    </w:p>
    <w:p w14:paraId="2DFDFB34">
      <w:pPr>
        <w:pStyle w:val="22"/>
        <w:numPr>
          <w:ilvl w:val="0"/>
          <w:numId w:val="0"/>
        </w:numPr>
        <w:spacing w:line="360" w:lineRule="auto"/>
        <w:ind w:leftChars="0"/>
        <w:outlineLvl w:val="0"/>
        <w:rPr>
          <w:rFonts w:hint="eastAsia" w:cs="宋体" w:asciiTheme="minorEastAsia" w:hAnsiTheme="minorEastAsia"/>
          <w:b/>
          <w:snapToGrid w:val="0"/>
          <w:color w:val="000000"/>
          <w:spacing w:val="-4"/>
          <w:kern w:val="0"/>
          <w:sz w:val="28"/>
          <w:szCs w:val="28"/>
          <w:lang w:val="en-US" w:eastAsia="zh-CN"/>
        </w:rPr>
      </w:pPr>
      <w:bookmarkStart w:id="94" w:name="_Toc11863"/>
      <w:r>
        <w:rPr>
          <w:rFonts w:hint="eastAsia" w:cs="宋体" w:asciiTheme="minorEastAsia" w:hAnsiTheme="minorEastAsia"/>
          <w:snapToGrid w:val="0"/>
          <w:color w:val="000000"/>
          <w:spacing w:val="-4"/>
          <w:kern w:val="0"/>
          <w:sz w:val="28"/>
          <w:szCs w:val="28"/>
          <w:lang w:eastAsia="en-US"/>
        </w:rPr>
        <w:t>可通过</w:t>
      </w:r>
      <w:r>
        <w:rPr>
          <w:rFonts w:hint="eastAsia" w:cs="宋体" w:asciiTheme="minorEastAsia" w:hAnsiTheme="minorEastAsia"/>
          <w:snapToGrid w:val="0"/>
          <w:color w:val="000000"/>
          <w:spacing w:val="-4"/>
          <w:kern w:val="0"/>
          <w:sz w:val="28"/>
          <w:szCs w:val="28"/>
        </w:rPr>
        <w:t>通惠</w:t>
      </w:r>
      <w:r>
        <w:rPr>
          <w:rFonts w:hint="eastAsia" w:cs="宋体" w:asciiTheme="minorEastAsia" w:hAnsiTheme="minorEastAsia"/>
          <w:snapToGrid w:val="0"/>
          <w:color w:val="000000"/>
          <w:spacing w:val="-4"/>
          <w:kern w:val="0"/>
          <w:sz w:val="28"/>
          <w:szCs w:val="28"/>
          <w:lang w:eastAsia="en-US"/>
        </w:rPr>
        <w:t>期货手机软件点击【</w:t>
      </w:r>
      <w:r>
        <w:rPr>
          <w:rFonts w:hint="eastAsia" w:cs="宋体" w:asciiTheme="minorEastAsia" w:hAnsiTheme="minorEastAsia"/>
          <w:snapToGrid w:val="0"/>
          <w:color w:val="000000"/>
          <w:spacing w:val="-4"/>
          <w:kern w:val="0"/>
          <w:sz w:val="28"/>
          <w:szCs w:val="28"/>
        </w:rPr>
        <w:t>首页</w:t>
      </w:r>
      <w:r>
        <w:rPr>
          <w:rFonts w:hint="eastAsia" w:cs="宋体" w:asciiTheme="minorEastAsia" w:hAnsiTheme="minorEastAsia"/>
          <w:snapToGrid w:val="0"/>
          <w:color w:val="000000"/>
          <w:spacing w:val="-4"/>
          <w:kern w:val="0"/>
          <w:sz w:val="28"/>
          <w:szCs w:val="28"/>
          <w:lang w:eastAsia="en-US"/>
        </w:rPr>
        <w:t>】--【</w:t>
      </w:r>
      <w:r>
        <w:rPr>
          <w:rFonts w:hint="eastAsia" w:cs="宋体" w:asciiTheme="minorEastAsia" w:hAnsiTheme="minorEastAsia"/>
          <w:snapToGrid w:val="0"/>
          <w:color w:val="000000"/>
          <w:spacing w:val="-4"/>
          <w:kern w:val="0"/>
          <w:sz w:val="28"/>
          <w:szCs w:val="28"/>
        </w:rPr>
        <w:t>网上</w:t>
      </w:r>
      <w:r>
        <w:rPr>
          <w:rFonts w:hint="eastAsia" w:cs="宋体" w:asciiTheme="minorEastAsia" w:hAnsiTheme="minorEastAsia"/>
          <w:snapToGrid w:val="0"/>
          <w:color w:val="000000"/>
          <w:spacing w:val="-4"/>
          <w:kern w:val="0"/>
          <w:sz w:val="28"/>
          <w:szCs w:val="28"/>
          <w:lang w:eastAsia="en-US"/>
        </w:rPr>
        <w:t>开户】--【开立期货账户】，登录后选择【我的业务】查看开户进度。</w:t>
      </w:r>
      <w:bookmarkEnd w:id="94"/>
    </w:p>
    <w:p w14:paraId="4900ECE5">
      <w:pPr>
        <w:pStyle w:val="22"/>
        <w:numPr>
          <w:ilvl w:val="0"/>
          <w:numId w:val="1"/>
        </w:numPr>
        <w:spacing w:line="360" w:lineRule="auto"/>
        <w:ind w:firstLineChars="0"/>
        <w:outlineLvl w:val="0"/>
        <w:rPr>
          <w:rFonts w:hint="eastAsia" w:cs="宋体" w:asciiTheme="minorEastAsia" w:hAnsiTheme="minorEastAsia"/>
          <w:b/>
          <w:snapToGrid w:val="0"/>
          <w:color w:val="000000"/>
          <w:spacing w:val="-4"/>
          <w:kern w:val="0"/>
          <w:sz w:val="28"/>
          <w:szCs w:val="28"/>
          <w:lang w:val="en-US" w:eastAsia="zh-CN"/>
        </w:rPr>
      </w:pPr>
      <w:bookmarkStart w:id="95" w:name="_Toc9718"/>
      <w:r>
        <w:rPr>
          <w:rFonts w:hint="eastAsia" w:cs="宋体" w:asciiTheme="minorEastAsia" w:hAnsiTheme="minorEastAsia"/>
          <w:b/>
          <w:snapToGrid w:val="0"/>
          <w:color w:val="000000"/>
          <w:spacing w:val="-4"/>
          <w:kern w:val="0"/>
          <w:sz w:val="28"/>
          <w:szCs w:val="28"/>
          <w:lang w:eastAsia="en-US"/>
        </w:rPr>
        <w:t>开户后多久可以交易</w:t>
      </w:r>
      <w:bookmarkEnd w:id="95"/>
    </w:p>
    <w:p w14:paraId="25B5153A">
      <w:pPr>
        <w:pStyle w:val="22"/>
        <w:numPr>
          <w:ilvl w:val="0"/>
          <w:numId w:val="0"/>
        </w:numPr>
        <w:spacing w:line="360" w:lineRule="auto"/>
        <w:ind w:leftChars="0"/>
        <w:outlineLvl w:val="0"/>
        <w:rPr>
          <w:rFonts w:hint="eastAsia" w:cs="宋体" w:asciiTheme="minorEastAsia" w:hAnsiTheme="minorEastAsia"/>
          <w:b/>
          <w:snapToGrid w:val="0"/>
          <w:color w:val="000000"/>
          <w:spacing w:val="-4"/>
          <w:kern w:val="0"/>
          <w:sz w:val="28"/>
          <w:szCs w:val="28"/>
          <w:lang w:val="en-US" w:eastAsia="zh-CN"/>
        </w:rPr>
      </w:pPr>
      <w:bookmarkStart w:id="96" w:name="_Toc511"/>
      <w:r>
        <w:rPr>
          <w:rFonts w:hint="eastAsia" w:cs="宋体" w:asciiTheme="minorEastAsia" w:hAnsiTheme="minorEastAsia"/>
          <w:snapToGrid w:val="0"/>
          <w:color w:val="000000"/>
          <w:spacing w:val="-4"/>
          <w:kern w:val="0"/>
          <w:sz w:val="28"/>
          <w:szCs w:val="28"/>
          <w:lang w:eastAsia="en-US"/>
        </w:rPr>
        <w:t>开户成功后的下一个交易日即可正常交易。</w:t>
      </w:r>
      <w:bookmarkEnd w:id="96"/>
    </w:p>
    <w:p w14:paraId="7426F610">
      <w:pPr>
        <w:pStyle w:val="22"/>
        <w:numPr>
          <w:ilvl w:val="0"/>
          <w:numId w:val="1"/>
        </w:numPr>
        <w:spacing w:line="360" w:lineRule="auto"/>
        <w:ind w:firstLineChars="0"/>
        <w:outlineLvl w:val="0"/>
        <w:rPr>
          <w:rFonts w:hint="eastAsia" w:cs="宋体" w:asciiTheme="minorEastAsia" w:hAnsiTheme="minorEastAsia"/>
          <w:b/>
          <w:snapToGrid w:val="0"/>
          <w:color w:val="000000"/>
          <w:spacing w:val="-4"/>
          <w:kern w:val="0"/>
          <w:sz w:val="28"/>
          <w:szCs w:val="28"/>
          <w:lang w:val="en-US" w:eastAsia="zh-CN"/>
        </w:rPr>
      </w:pPr>
      <w:bookmarkStart w:id="97" w:name="_Toc12323"/>
      <w:r>
        <w:rPr>
          <w:rFonts w:hint="eastAsia" w:cs="宋体" w:asciiTheme="minorEastAsia" w:hAnsiTheme="minorEastAsia"/>
          <w:b/>
          <w:snapToGrid w:val="0"/>
          <w:color w:val="000000"/>
          <w:spacing w:val="-4"/>
          <w:kern w:val="0"/>
          <w:sz w:val="28"/>
          <w:szCs w:val="28"/>
          <w:lang w:eastAsia="en-US"/>
        </w:rPr>
        <w:t>新开户可以交易哪些品种</w:t>
      </w:r>
      <w:bookmarkEnd w:id="97"/>
    </w:p>
    <w:p w14:paraId="22AC2CD6">
      <w:pPr>
        <w:pStyle w:val="22"/>
        <w:numPr>
          <w:ilvl w:val="0"/>
          <w:numId w:val="0"/>
        </w:numPr>
        <w:spacing w:line="360" w:lineRule="auto"/>
        <w:ind w:leftChars="0"/>
        <w:outlineLvl w:val="0"/>
        <w:rPr>
          <w:rFonts w:hint="eastAsia" w:cs="宋体" w:asciiTheme="minorEastAsia" w:hAnsiTheme="minorEastAsia"/>
          <w:b/>
          <w:snapToGrid w:val="0"/>
          <w:color w:val="000000"/>
          <w:spacing w:val="-4"/>
          <w:kern w:val="0"/>
          <w:sz w:val="28"/>
          <w:szCs w:val="28"/>
          <w:lang w:val="en-US" w:eastAsia="zh-CN"/>
        </w:rPr>
      </w:pPr>
      <w:bookmarkStart w:id="98" w:name="_Toc32300"/>
      <w:r>
        <w:rPr>
          <w:rFonts w:hint="eastAsia" w:cs="宋体" w:asciiTheme="minorEastAsia" w:hAnsiTheme="minorEastAsia"/>
          <w:snapToGrid w:val="0"/>
          <w:color w:val="000000"/>
          <w:spacing w:val="-4"/>
          <w:kern w:val="0"/>
          <w:sz w:val="28"/>
          <w:szCs w:val="28"/>
          <w:lang w:eastAsia="en-US"/>
        </w:rPr>
        <w:t>新开商品期货账户可交易上海期货交易所、大连商品交易所（除</w:t>
      </w:r>
      <w:r>
        <w:rPr>
          <w:rFonts w:hint="eastAsia" w:cs="宋体" w:asciiTheme="minorEastAsia" w:hAnsiTheme="minorEastAsia"/>
          <w:snapToGrid w:val="0"/>
          <w:color w:val="000000"/>
          <w:spacing w:val="-4"/>
          <w:kern w:val="0"/>
          <w:sz w:val="28"/>
          <w:szCs w:val="28"/>
          <w:lang w:eastAsia="en-US"/>
        </w:rPr>
        <w:cr/>
      </w:r>
      <w:r>
        <w:rPr>
          <w:rFonts w:hint="eastAsia" w:cs="宋体" w:asciiTheme="minorEastAsia" w:hAnsiTheme="minorEastAsia"/>
          <w:snapToGrid w:val="0"/>
          <w:color w:val="000000"/>
          <w:spacing w:val="-4"/>
          <w:kern w:val="0"/>
          <w:sz w:val="28"/>
          <w:szCs w:val="28"/>
          <w:lang w:eastAsia="en-US"/>
        </w:rPr>
        <w:t>铁矿石、棕榈油、豆一、豆二、豆粕、豆油期货外）、郑州商品交易所（除PT</w:t>
      </w:r>
      <w:r>
        <w:rPr>
          <w:rFonts w:hint="eastAsia" w:cs="宋体" w:asciiTheme="minorEastAsia" w:hAnsiTheme="minorEastAsia"/>
          <w:snapToGrid w:val="0"/>
          <w:color w:val="000000"/>
          <w:spacing w:val="-4"/>
          <w:kern w:val="0"/>
          <w:sz w:val="28"/>
          <w:szCs w:val="28"/>
        </w:rPr>
        <w:t>A</w:t>
      </w:r>
      <w:r>
        <w:rPr>
          <w:rFonts w:hint="eastAsia" w:cs="宋体" w:asciiTheme="minorEastAsia" w:hAnsiTheme="minorEastAsia"/>
          <w:snapToGrid w:val="0"/>
          <w:color w:val="000000"/>
          <w:spacing w:val="-4"/>
          <w:kern w:val="0"/>
          <w:sz w:val="28"/>
          <w:szCs w:val="28"/>
          <w:lang w:eastAsia="en-US"/>
        </w:rPr>
        <w:t>、菜粕、菜油、花生期货外）的商品期货。</w:t>
      </w:r>
      <w:bookmarkEnd w:id="98"/>
    </w:p>
    <w:bookmarkEnd w:id="57"/>
    <w:bookmarkEnd w:id="58"/>
    <w:p w14:paraId="47270132">
      <w:pPr>
        <w:spacing w:line="360" w:lineRule="auto"/>
        <w:rPr>
          <w:rFonts w:cs="宋体" w:asciiTheme="minorEastAsia" w:hAnsiTheme="minorEastAsia"/>
          <w:snapToGrid w:val="0"/>
          <w:color w:val="000000"/>
          <w:spacing w:val="-4"/>
          <w:kern w:val="0"/>
          <w:sz w:val="28"/>
          <w:szCs w:val="28"/>
        </w:rPr>
      </w:pPr>
    </w:p>
    <w:p w14:paraId="25ADE6D4">
      <w:pPr>
        <w:spacing w:line="360" w:lineRule="auto"/>
        <w:jc w:val="both"/>
        <w:outlineLvl w:val="0"/>
        <w:rPr>
          <w:rFonts w:cs="宋体" w:asciiTheme="minorEastAsia" w:hAnsiTheme="minorEastAsia"/>
          <w:snapToGrid w:val="0"/>
          <w:color w:val="000000"/>
          <w:spacing w:val="4"/>
          <w:kern w:val="0"/>
          <w:sz w:val="35"/>
          <w:szCs w:val="35"/>
          <w14:textOutline w14:w="6540" w14:cap="sq" w14:cmpd="sng" w14:algn="ctr">
            <w14:solidFill>
              <w14:srgbClr w14:val="000000"/>
            </w14:solidFill>
            <w14:prstDash w14:val="solid"/>
            <w14:bevel/>
          </w14:textOutline>
        </w:rPr>
      </w:pPr>
      <w:bookmarkStart w:id="99" w:name="_Toc142640273"/>
      <w:bookmarkStart w:id="100" w:name="_Toc3955"/>
      <w:bookmarkStart w:id="101" w:name="_Toc8989"/>
      <w:bookmarkStart w:id="102" w:name="_Toc27937"/>
      <w:r>
        <w:rPr>
          <w:rFonts w:hint="eastAsia" w:cs="宋体" w:asciiTheme="minorEastAsia" w:hAnsiTheme="minorEastAsia"/>
          <w:snapToGrid w:val="0"/>
          <w:color w:val="000000"/>
          <w:spacing w:val="4"/>
          <w:kern w:val="0"/>
          <w:sz w:val="35"/>
          <w:szCs w:val="35"/>
          <w:lang w:val="en-US" w:eastAsia="zh-CN"/>
          <w14:textOutline w14:w="6540" w14:cap="sq" w14:cmpd="sng" w14:algn="ctr">
            <w14:solidFill>
              <w14:srgbClr w14:val="000000"/>
            </w14:solidFill>
            <w14:prstDash w14:val="solid"/>
            <w14:bevel/>
          </w14:textOutline>
        </w:rPr>
        <w:t>二、</w:t>
      </w:r>
      <w:r>
        <w:rPr>
          <w:rFonts w:cs="宋体" w:asciiTheme="minorEastAsia" w:hAnsiTheme="minorEastAsia"/>
          <w:snapToGrid w:val="0"/>
          <w:color w:val="000000"/>
          <w:spacing w:val="4"/>
          <w:kern w:val="0"/>
          <w:sz w:val="35"/>
          <w:szCs w:val="35"/>
          <w14:textOutline w14:w="6540" w14:cap="sq" w14:cmpd="sng" w14:algn="ctr">
            <w14:solidFill>
              <w14:srgbClr w14:val="000000"/>
            </w14:solidFill>
            <w14:prstDash w14:val="solid"/>
            <w14:bevel/>
          </w14:textOutline>
        </w:rPr>
        <w:t>业务办理</w:t>
      </w:r>
      <w:bookmarkEnd w:id="99"/>
      <w:bookmarkEnd w:id="100"/>
      <w:bookmarkEnd w:id="101"/>
      <w:bookmarkEnd w:id="102"/>
    </w:p>
    <w:p w14:paraId="76600247">
      <w:pPr>
        <w:pStyle w:val="22"/>
        <w:numPr>
          <w:ilvl w:val="0"/>
          <w:numId w:val="2"/>
        </w:numPr>
        <w:spacing w:line="360" w:lineRule="auto"/>
        <w:ind w:firstLineChars="0"/>
        <w:outlineLvl w:val="0"/>
        <w:rPr>
          <w:rFonts w:hint="eastAsia" w:cs="宋体" w:asciiTheme="minorEastAsia" w:hAnsiTheme="minorEastAsia"/>
          <w:b/>
          <w:snapToGrid w:val="0"/>
          <w:color w:val="000000"/>
          <w:spacing w:val="-4"/>
          <w:kern w:val="0"/>
          <w:sz w:val="28"/>
          <w:szCs w:val="28"/>
          <w:lang w:val="en-US" w:eastAsia="zh-CN"/>
        </w:rPr>
      </w:pPr>
      <w:bookmarkStart w:id="103" w:name="_Toc11717"/>
      <w:bookmarkStart w:id="104" w:name="_Toc142640274"/>
      <w:bookmarkStart w:id="105" w:name="_Toc19656"/>
      <w:bookmarkStart w:id="106" w:name="_Toc9458"/>
      <w:r>
        <w:rPr>
          <w:rFonts w:hint="eastAsia" w:cs="宋体" w:asciiTheme="minorEastAsia" w:hAnsiTheme="minorEastAsia"/>
          <w:b/>
          <w:snapToGrid w:val="0"/>
          <w:color w:val="000000"/>
          <w:spacing w:val="-4"/>
          <w:kern w:val="0"/>
          <w:sz w:val="28"/>
          <w:szCs w:val="28"/>
          <w:lang w:val="en-US" w:eastAsia="zh-CN"/>
        </w:rPr>
        <w:t>期货的密码是什么</w:t>
      </w:r>
      <w:bookmarkEnd w:id="103"/>
      <w:bookmarkEnd w:id="104"/>
      <w:bookmarkEnd w:id="105"/>
      <w:bookmarkEnd w:id="106"/>
    </w:p>
    <w:p w14:paraId="2DEEC64A">
      <w:pPr>
        <w:spacing w:line="360" w:lineRule="auto"/>
        <w:jc w:val="left"/>
        <w:rPr>
          <w:rFonts w:cs="宋体" w:asciiTheme="minorEastAsia" w:hAnsiTheme="minorEastAsia"/>
          <w:b/>
          <w:snapToGrid w:val="0"/>
          <w:color w:val="000000"/>
          <w:spacing w:val="-4"/>
          <w:kern w:val="0"/>
          <w:sz w:val="28"/>
          <w:szCs w:val="28"/>
        </w:rPr>
      </w:pPr>
      <w:r>
        <w:rPr>
          <w:rFonts w:hint="eastAsia" w:cs="宋体" w:asciiTheme="minorEastAsia" w:hAnsiTheme="minorEastAsia"/>
          <w:snapToGrid w:val="0"/>
          <w:color w:val="000000"/>
          <w:spacing w:val="-4"/>
          <w:kern w:val="0"/>
          <w:sz w:val="28"/>
          <w:szCs w:val="28"/>
          <w:lang w:eastAsia="en-US"/>
        </w:rPr>
        <w:t>期货交易中通常涉及交易密码和资金密码。交易密码为登陆交易软件个人期货账户时使用的密码，初始为身份证后六位数字（不包含字母X），首次登录强制修改为至少八位，并包含数字、大小写字母及特殊字符中的至少两种。资金密码为银期签约及转账时使用的密码，初始为身份证后六位数字（不包含字母X），无强制修改要求，修改格式仅支持六位纯数字。</w:t>
      </w:r>
    </w:p>
    <w:p w14:paraId="6CA25BC8">
      <w:pPr>
        <w:pStyle w:val="22"/>
        <w:numPr>
          <w:ilvl w:val="0"/>
          <w:numId w:val="2"/>
        </w:numPr>
        <w:spacing w:line="360" w:lineRule="auto"/>
        <w:ind w:firstLineChars="0"/>
        <w:outlineLvl w:val="0"/>
        <w:rPr>
          <w:rFonts w:hint="eastAsia" w:cs="宋体" w:asciiTheme="minorEastAsia" w:hAnsiTheme="minorEastAsia"/>
          <w:b/>
          <w:snapToGrid w:val="0"/>
          <w:color w:val="000000"/>
          <w:spacing w:val="-4"/>
          <w:kern w:val="0"/>
          <w:sz w:val="28"/>
          <w:szCs w:val="28"/>
          <w:lang w:val="en-US" w:eastAsia="zh-CN"/>
        </w:rPr>
      </w:pPr>
      <w:bookmarkStart w:id="107" w:name="_Toc14652"/>
      <w:r>
        <w:rPr>
          <w:rFonts w:hint="eastAsia" w:cs="宋体" w:asciiTheme="minorEastAsia" w:hAnsiTheme="minorEastAsia" w:eastAsiaTheme="minorEastAsia"/>
          <w:b/>
          <w:snapToGrid w:val="0"/>
          <w:color w:val="000000"/>
          <w:spacing w:val="-4"/>
          <w:kern w:val="0"/>
          <w:sz w:val="28"/>
          <w:szCs w:val="28"/>
          <w:lang w:val="en-US" w:eastAsia="en-US" w:bidi="ar-SA"/>
        </w:rPr>
        <w:t>如何自行修改密码忘记密码如何操作</w:t>
      </w:r>
      <w:bookmarkEnd w:id="107"/>
    </w:p>
    <w:p w14:paraId="57EFEC5A">
      <w:pPr>
        <w:pStyle w:val="22"/>
        <w:numPr>
          <w:ilvl w:val="0"/>
          <w:numId w:val="0"/>
        </w:numPr>
        <w:spacing w:line="360" w:lineRule="auto"/>
        <w:ind w:leftChars="0"/>
        <w:outlineLvl w:val="0"/>
        <w:rPr>
          <w:rFonts w:hint="eastAsia" w:cs="宋体" w:asciiTheme="minorEastAsia" w:hAnsiTheme="minorEastAsia"/>
          <w:b/>
          <w:snapToGrid w:val="0"/>
          <w:color w:val="000000"/>
          <w:spacing w:val="-4"/>
          <w:kern w:val="0"/>
          <w:sz w:val="28"/>
          <w:szCs w:val="28"/>
          <w:lang w:val="en-US" w:eastAsia="zh-CN"/>
        </w:rPr>
      </w:pPr>
      <w:bookmarkStart w:id="108" w:name="_Toc3297"/>
      <w:r>
        <w:rPr>
          <w:rFonts w:hint="eastAsia" w:cs="宋体" w:asciiTheme="minorEastAsia" w:hAnsiTheme="minorEastAsia"/>
          <w:snapToGrid w:val="0"/>
          <w:color w:val="000000"/>
          <w:spacing w:val="-4"/>
          <w:kern w:val="0"/>
          <w:sz w:val="28"/>
          <w:szCs w:val="28"/>
          <w:lang w:eastAsia="en-US"/>
        </w:rPr>
        <w:t>如需修改交易或资金密码可在交易软件设置功能中按照要求自行修改。如需重置密码，可通过</w:t>
      </w:r>
      <w:r>
        <w:rPr>
          <w:rFonts w:hint="eastAsia" w:cs="宋体" w:asciiTheme="minorEastAsia" w:hAnsiTheme="minorEastAsia"/>
          <w:snapToGrid w:val="0"/>
          <w:color w:val="000000"/>
          <w:spacing w:val="-4"/>
          <w:kern w:val="0"/>
          <w:sz w:val="28"/>
          <w:szCs w:val="28"/>
        </w:rPr>
        <w:t>通惠</w:t>
      </w:r>
      <w:r>
        <w:rPr>
          <w:rFonts w:hint="eastAsia" w:cs="宋体" w:asciiTheme="minorEastAsia" w:hAnsiTheme="minorEastAsia"/>
          <w:snapToGrid w:val="0"/>
          <w:color w:val="000000"/>
          <w:spacing w:val="-4"/>
          <w:kern w:val="0"/>
          <w:sz w:val="28"/>
          <w:szCs w:val="28"/>
          <w:lang w:eastAsia="en-US"/>
        </w:rPr>
        <w:t>期货手机软件点击【</w:t>
      </w:r>
      <w:r>
        <w:rPr>
          <w:rFonts w:hint="eastAsia" w:cs="宋体" w:asciiTheme="minorEastAsia" w:hAnsiTheme="minorEastAsia"/>
          <w:snapToGrid w:val="0"/>
          <w:color w:val="000000"/>
          <w:spacing w:val="-4"/>
          <w:kern w:val="0"/>
          <w:sz w:val="28"/>
          <w:szCs w:val="28"/>
        </w:rPr>
        <w:t>首页</w:t>
      </w:r>
      <w:r>
        <w:rPr>
          <w:rFonts w:hint="eastAsia" w:cs="宋体" w:asciiTheme="minorEastAsia" w:hAnsiTheme="minorEastAsia"/>
          <w:snapToGrid w:val="0"/>
          <w:color w:val="000000"/>
          <w:spacing w:val="-4"/>
          <w:kern w:val="0"/>
          <w:sz w:val="28"/>
          <w:szCs w:val="28"/>
          <w:lang w:eastAsia="en-US"/>
        </w:rPr>
        <w:t>】--【</w:t>
      </w:r>
      <w:r>
        <w:rPr>
          <w:rFonts w:hint="eastAsia" w:cs="宋体" w:asciiTheme="minorEastAsia" w:hAnsiTheme="minorEastAsia"/>
          <w:snapToGrid w:val="0"/>
          <w:color w:val="000000"/>
          <w:spacing w:val="-4"/>
          <w:kern w:val="0"/>
          <w:sz w:val="28"/>
          <w:szCs w:val="28"/>
        </w:rPr>
        <w:t>掌上营业厅</w:t>
      </w:r>
      <w:r>
        <w:rPr>
          <w:rFonts w:hint="eastAsia" w:cs="宋体" w:asciiTheme="minorEastAsia" w:hAnsiTheme="minorEastAsia"/>
          <w:snapToGrid w:val="0"/>
          <w:color w:val="000000"/>
          <w:spacing w:val="-4"/>
          <w:kern w:val="0"/>
          <w:sz w:val="28"/>
          <w:szCs w:val="28"/>
          <w:lang w:eastAsia="en-US"/>
        </w:rPr>
        <w:t>】--【密码重置】</w:t>
      </w:r>
      <w:r>
        <w:rPr>
          <w:rFonts w:hint="eastAsia" w:cs="宋体" w:asciiTheme="minorEastAsia" w:hAnsiTheme="minorEastAsia"/>
          <w:snapToGrid w:val="0"/>
          <w:color w:val="000000"/>
          <w:spacing w:val="-4"/>
          <w:kern w:val="0"/>
          <w:sz w:val="28"/>
          <w:szCs w:val="28"/>
        </w:rPr>
        <w:t>进行</w:t>
      </w:r>
      <w:r>
        <w:rPr>
          <w:rFonts w:hint="eastAsia" w:cs="宋体" w:asciiTheme="minorEastAsia" w:hAnsiTheme="minorEastAsia"/>
          <w:snapToGrid w:val="0"/>
          <w:color w:val="000000"/>
          <w:spacing w:val="-4"/>
          <w:kern w:val="0"/>
          <w:sz w:val="28"/>
          <w:szCs w:val="28"/>
          <w:lang w:eastAsia="en-US"/>
        </w:rPr>
        <w:t>密码重置，申请时间为7×24小时，受理时间为交易日8:</w:t>
      </w:r>
      <w:r>
        <w:rPr>
          <w:rFonts w:hint="eastAsia" w:cs="宋体" w:asciiTheme="minorEastAsia" w:hAnsiTheme="minorEastAsia"/>
          <w:snapToGrid w:val="0"/>
          <w:color w:val="000000"/>
          <w:spacing w:val="-4"/>
          <w:kern w:val="0"/>
          <w:sz w:val="28"/>
          <w:szCs w:val="28"/>
        </w:rPr>
        <w:t>3</w:t>
      </w:r>
      <w:r>
        <w:rPr>
          <w:rFonts w:hint="eastAsia" w:cs="宋体" w:asciiTheme="minorEastAsia" w:hAnsiTheme="minorEastAsia"/>
          <w:snapToGrid w:val="0"/>
          <w:color w:val="000000"/>
          <w:spacing w:val="-4"/>
          <w:kern w:val="0"/>
          <w:sz w:val="28"/>
          <w:szCs w:val="28"/>
          <w:lang w:eastAsia="en-US"/>
        </w:rPr>
        <w:t>0-1</w:t>
      </w:r>
      <w:r>
        <w:rPr>
          <w:rFonts w:hint="eastAsia" w:cs="宋体" w:asciiTheme="minorEastAsia" w:hAnsiTheme="minorEastAsia"/>
          <w:snapToGrid w:val="0"/>
          <w:color w:val="000000"/>
          <w:spacing w:val="-4"/>
          <w:kern w:val="0"/>
          <w:sz w:val="28"/>
          <w:szCs w:val="28"/>
        </w:rPr>
        <w:t>5</w:t>
      </w:r>
      <w:r>
        <w:rPr>
          <w:rFonts w:hint="eastAsia" w:cs="宋体" w:asciiTheme="minorEastAsia" w:hAnsiTheme="minorEastAsia"/>
          <w:snapToGrid w:val="0"/>
          <w:color w:val="000000"/>
          <w:spacing w:val="-4"/>
          <w:kern w:val="0"/>
          <w:sz w:val="28"/>
          <w:szCs w:val="28"/>
          <w:lang w:eastAsia="en-US"/>
        </w:rPr>
        <w:t>：</w:t>
      </w:r>
      <w:r>
        <w:rPr>
          <w:rFonts w:hint="eastAsia" w:cs="宋体" w:asciiTheme="minorEastAsia" w:hAnsiTheme="minorEastAsia"/>
          <w:snapToGrid w:val="0"/>
          <w:color w:val="000000"/>
          <w:spacing w:val="-4"/>
          <w:kern w:val="0"/>
          <w:sz w:val="28"/>
          <w:szCs w:val="28"/>
        </w:rPr>
        <w:t>3</w:t>
      </w:r>
      <w:r>
        <w:rPr>
          <w:rFonts w:hint="eastAsia" w:cs="宋体" w:asciiTheme="minorEastAsia" w:hAnsiTheme="minorEastAsia"/>
          <w:snapToGrid w:val="0"/>
          <w:color w:val="000000"/>
          <w:spacing w:val="-4"/>
          <w:kern w:val="0"/>
          <w:sz w:val="28"/>
          <w:szCs w:val="28"/>
          <w:lang w:eastAsia="en-US"/>
        </w:rPr>
        <w:t>0。</w:t>
      </w:r>
      <w:bookmarkEnd w:id="108"/>
    </w:p>
    <w:p w14:paraId="4C99AA2B">
      <w:pPr>
        <w:pStyle w:val="22"/>
        <w:numPr>
          <w:ilvl w:val="0"/>
          <w:numId w:val="2"/>
        </w:numPr>
        <w:spacing w:line="360" w:lineRule="auto"/>
        <w:ind w:firstLineChars="0"/>
        <w:outlineLvl w:val="0"/>
        <w:rPr>
          <w:rFonts w:hint="eastAsia" w:cs="宋体" w:asciiTheme="minorEastAsia" w:hAnsiTheme="minorEastAsia"/>
          <w:b/>
          <w:snapToGrid w:val="0"/>
          <w:color w:val="000000"/>
          <w:spacing w:val="-4"/>
          <w:kern w:val="0"/>
          <w:sz w:val="28"/>
          <w:szCs w:val="28"/>
          <w:lang w:val="en-US" w:eastAsia="zh-CN"/>
        </w:rPr>
      </w:pPr>
      <w:bookmarkStart w:id="109" w:name="_Toc21828"/>
      <w:r>
        <w:rPr>
          <w:rFonts w:hint="eastAsia" w:cs="宋体" w:asciiTheme="minorEastAsia" w:hAnsiTheme="minorEastAsia"/>
          <w:b/>
          <w:snapToGrid w:val="0"/>
          <w:color w:val="000000"/>
          <w:spacing w:val="-4"/>
          <w:kern w:val="0"/>
          <w:sz w:val="28"/>
          <w:szCs w:val="28"/>
          <w:lang w:eastAsia="en-US"/>
        </w:rPr>
        <w:t>保证金账户是什么</w:t>
      </w:r>
      <w:bookmarkEnd w:id="109"/>
    </w:p>
    <w:p w14:paraId="0E735068">
      <w:pPr>
        <w:pStyle w:val="22"/>
        <w:numPr>
          <w:ilvl w:val="0"/>
          <w:numId w:val="0"/>
        </w:numPr>
        <w:spacing w:line="360" w:lineRule="auto"/>
        <w:ind w:leftChars="0"/>
        <w:outlineLvl w:val="0"/>
        <w:rPr>
          <w:rFonts w:hint="eastAsia" w:cs="宋体" w:asciiTheme="minorEastAsia" w:hAnsiTheme="minorEastAsia"/>
          <w:b/>
          <w:snapToGrid w:val="0"/>
          <w:color w:val="000000"/>
          <w:spacing w:val="-4"/>
          <w:kern w:val="0"/>
          <w:sz w:val="28"/>
          <w:szCs w:val="28"/>
          <w:lang w:val="en-US" w:eastAsia="zh-CN"/>
        </w:rPr>
      </w:pPr>
      <w:bookmarkStart w:id="110" w:name="_Toc474"/>
      <w:r>
        <w:rPr>
          <w:rFonts w:hint="eastAsia" w:cs="宋体" w:asciiTheme="minorEastAsia" w:hAnsiTheme="minorEastAsia"/>
          <w:snapToGrid w:val="0"/>
          <w:color w:val="000000"/>
          <w:spacing w:val="-4"/>
          <w:kern w:val="0"/>
          <w:sz w:val="28"/>
          <w:szCs w:val="28"/>
          <w:lang w:eastAsia="en-US"/>
        </w:rPr>
        <w:t>期货保证金账户分为结算准备金和交易保证金两类，结算准备金为交易所会员单位按固定标准向交易所预先缴纳的为交易结算准备的资金。交易保证金是会员单位或客户在期货交易中因持有期货合约而实际支付的保证金。故保证金账户即指期货账户、或资金账户。注意保证金账户和中国期货市场监控中心账户区别。中国期货市场监控中心投资者查询服务系统主要功能是为投资者提供有关期货交易结算信息查询及其他服务。中国期货市场监控中心账户为期货公司代码（01</w:t>
      </w:r>
      <w:r>
        <w:rPr>
          <w:rFonts w:hint="eastAsia" w:cs="宋体" w:asciiTheme="minorEastAsia" w:hAnsiTheme="minorEastAsia"/>
          <w:snapToGrid w:val="0"/>
          <w:color w:val="000000"/>
          <w:spacing w:val="-4"/>
          <w:kern w:val="0"/>
          <w:sz w:val="28"/>
          <w:szCs w:val="28"/>
        </w:rPr>
        <w:t>50</w:t>
      </w:r>
      <w:r>
        <w:rPr>
          <w:rFonts w:hint="eastAsia" w:cs="宋体" w:asciiTheme="minorEastAsia" w:hAnsiTheme="minorEastAsia"/>
          <w:snapToGrid w:val="0"/>
          <w:color w:val="000000"/>
          <w:spacing w:val="-4"/>
          <w:kern w:val="0"/>
          <w:sz w:val="28"/>
          <w:szCs w:val="28"/>
          <w:lang w:eastAsia="en-US"/>
        </w:rPr>
        <w:t>）+保证金账号。</w:t>
      </w:r>
      <w:bookmarkEnd w:id="110"/>
      <w:r>
        <w:rPr>
          <w:rFonts w:hint="eastAsia" w:cs="宋体" w:asciiTheme="minorEastAsia" w:hAnsiTheme="minorEastAsia"/>
          <w:b/>
          <w:snapToGrid w:val="0"/>
          <w:color w:val="000000"/>
          <w:spacing w:val="-4"/>
          <w:kern w:val="0"/>
          <w:sz w:val="28"/>
          <w:szCs w:val="28"/>
          <w:lang w:val="en-US" w:eastAsia="zh-CN"/>
        </w:rPr>
        <w:t xml:space="preserve"> </w:t>
      </w:r>
    </w:p>
    <w:p w14:paraId="2F8B0589">
      <w:pPr>
        <w:pStyle w:val="22"/>
        <w:numPr>
          <w:ilvl w:val="0"/>
          <w:numId w:val="2"/>
        </w:numPr>
        <w:spacing w:line="360" w:lineRule="auto"/>
        <w:ind w:firstLineChars="0"/>
        <w:outlineLvl w:val="0"/>
        <w:rPr>
          <w:rFonts w:hint="eastAsia" w:cs="宋体" w:asciiTheme="minorEastAsia" w:hAnsiTheme="minorEastAsia"/>
          <w:b/>
          <w:snapToGrid w:val="0"/>
          <w:color w:val="000000"/>
          <w:spacing w:val="-4"/>
          <w:kern w:val="0"/>
          <w:sz w:val="28"/>
          <w:szCs w:val="28"/>
          <w:lang w:val="en-US" w:eastAsia="zh-CN"/>
        </w:rPr>
      </w:pPr>
      <w:bookmarkStart w:id="111" w:name="_Toc15305"/>
      <w:r>
        <w:rPr>
          <w:rFonts w:hint="eastAsia" w:cs="宋体" w:asciiTheme="minorEastAsia" w:hAnsiTheme="minorEastAsia"/>
          <w:b/>
          <w:snapToGrid w:val="0"/>
          <w:color w:val="000000"/>
          <w:spacing w:val="-4"/>
          <w:kern w:val="0"/>
          <w:sz w:val="28"/>
          <w:szCs w:val="28"/>
          <w:lang w:eastAsia="en-US"/>
        </w:rPr>
        <w:t>保证金账号忘记了如何找回</w:t>
      </w:r>
      <w:bookmarkEnd w:id="111"/>
    </w:p>
    <w:p w14:paraId="20EA017C">
      <w:pPr>
        <w:pStyle w:val="22"/>
        <w:numPr>
          <w:ilvl w:val="0"/>
          <w:numId w:val="0"/>
        </w:numPr>
        <w:spacing w:line="360" w:lineRule="auto"/>
        <w:ind w:leftChars="0"/>
        <w:outlineLvl w:val="0"/>
        <w:rPr>
          <w:rFonts w:hint="eastAsia" w:cs="宋体" w:asciiTheme="minorEastAsia" w:hAnsiTheme="minorEastAsia"/>
          <w:b/>
          <w:snapToGrid w:val="0"/>
          <w:color w:val="000000"/>
          <w:spacing w:val="-4"/>
          <w:kern w:val="0"/>
          <w:sz w:val="28"/>
          <w:szCs w:val="28"/>
          <w:lang w:val="en-US" w:eastAsia="zh-CN"/>
        </w:rPr>
      </w:pPr>
      <w:bookmarkStart w:id="112" w:name="_Toc7192"/>
      <w:r>
        <w:rPr>
          <w:rFonts w:hint="eastAsia" w:cs="宋体" w:asciiTheme="minorEastAsia" w:hAnsiTheme="minorEastAsia"/>
          <w:snapToGrid w:val="0"/>
          <w:color w:val="000000"/>
          <w:spacing w:val="-4"/>
          <w:kern w:val="0"/>
          <w:sz w:val="28"/>
          <w:szCs w:val="28"/>
          <w:lang w:eastAsia="en-US"/>
        </w:rPr>
        <w:t>可通过</w:t>
      </w:r>
      <w:r>
        <w:rPr>
          <w:rFonts w:hint="eastAsia" w:cs="宋体" w:asciiTheme="minorEastAsia" w:hAnsiTheme="minorEastAsia"/>
          <w:snapToGrid w:val="0"/>
          <w:color w:val="000000"/>
          <w:spacing w:val="-4"/>
          <w:kern w:val="0"/>
          <w:sz w:val="28"/>
          <w:szCs w:val="28"/>
        </w:rPr>
        <w:t>通惠</w:t>
      </w:r>
      <w:r>
        <w:rPr>
          <w:rFonts w:hint="eastAsia" w:cs="宋体" w:asciiTheme="minorEastAsia" w:hAnsiTheme="minorEastAsia"/>
          <w:snapToGrid w:val="0"/>
          <w:color w:val="000000"/>
          <w:spacing w:val="-4"/>
          <w:kern w:val="0"/>
          <w:sz w:val="28"/>
          <w:szCs w:val="28"/>
          <w:lang w:eastAsia="en-US"/>
        </w:rPr>
        <w:t>期货手机软件点击【</w:t>
      </w:r>
      <w:r>
        <w:rPr>
          <w:rFonts w:hint="eastAsia" w:cs="宋体" w:asciiTheme="minorEastAsia" w:hAnsiTheme="minorEastAsia"/>
          <w:snapToGrid w:val="0"/>
          <w:color w:val="000000"/>
          <w:spacing w:val="-4"/>
          <w:kern w:val="0"/>
          <w:sz w:val="28"/>
          <w:szCs w:val="28"/>
        </w:rPr>
        <w:t>首页</w:t>
      </w:r>
      <w:r>
        <w:rPr>
          <w:rFonts w:hint="eastAsia" w:cs="宋体" w:asciiTheme="minorEastAsia" w:hAnsiTheme="minorEastAsia"/>
          <w:snapToGrid w:val="0"/>
          <w:color w:val="000000"/>
          <w:spacing w:val="-4"/>
          <w:kern w:val="0"/>
          <w:sz w:val="28"/>
          <w:szCs w:val="28"/>
          <w:lang w:eastAsia="en-US"/>
        </w:rPr>
        <w:t>】--【</w:t>
      </w:r>
      <w:r>
        <w:rPr>
          <w:rFonts w:hint="eastAsia" w:cs="宋体" w:asciiTheme="minorEastAsia" w:hAnsiTheme="minorEastAsia"/>
          <w:snapToGrid w:val="0"/>
          <w:color w:val="000000"/>
          <w:spacing w:val="-4"/>
          <w:kern w:val="0"/>
          <w:sz w:val="28"/>
          <w:szCs w:val="28"/>
        </w:rPr>
        <w:t>掌上营业厅</w:t>
      </w:r>
      <w:r>
        <w:rPr>
          <w:rFonts w:hint="eastAsia" w:cs="宋体" w:asciiTheme="minorEastAsia" w:hAnsiTheme="minorEastAsia"/>
          <w:snapToGrid w:val="0"/>
          <w:color w:val="000000"/>
          <w:spacing w:val="-4"/>
          <w:kern w:val="0"/>
          <w:sz w:val="28"/>
          <w:szCs w:val="28"/>
          <w:lang w:eastAsia="en-US"/>
        </w:rPr>
        <w:t>】--【</w:t>
      </w:r>
      <w:r>
        <w:rPr>
          <w:rFonts w:hint="eastAsia" w:cs="宋体" w:asciiTheme="minorEastAsia" w:hAnsiTheme="minorEastAsia"/>
          <w:snapToGrid w:val="0"/>
          <w:color w:val="000000"/>
          <w:spacing w:val="-4"/>
          <w:kern w:val="0"/>
          <w:sz w:val="28"/>
          <w:szCs w:val="28"/>
        </w:rPr>
        <w:t>找回</w:t>
      </w:r>
      <w:r>
        <w:rPr>
          <w:rFonts w:hint="eastAsia" w:cs="宋体" w:asciiTheme="minorEastAsia" w:hAnsiTheme="minorEastAsia"/>
          <w:snapToGrid w:val="0"/>
          <w:color w:val="000000"/>
          <w:spacing w:val="-4"/>
          <w:kern w:val="0"/>
          <w:sz w:val="28"/>
          <w:szCs w:val="28"/>
          <w:lang w:eastAsia="en-US"/>
        </w:rPr>
        <w:t>期货账号】</w:t>
      </w:r>
      <w:r>
        <w:rPr>
          <w:rFonts w:hint="eastAsia" w:cs="宋体" w:asciiTheme="minorEastAsia" w:hAnsiTheme="minorEastAsia"/>
          <w:snapToGrid w:val="0"/>
          <w:color w:val="000000"/>
          <w:spacing w:val="-4"/>
          <w:kern w:val="0"/>
          <w:sz w:val="28"/>
          <w:szCs w:val="28"/>
        </w:rPr>
        <w:t>进行保证金账号找回</w:t>
      </w:r>
      <w:r>
        <w:rPr>
          <w:rFonts w:hint="eastAsia" w:cs="宋体" w:asciiTheme="minorEastAsia" w:hAnsiTheme="minorEastAsia"/>
          <w:snapToGrid w:val="0"/>
          <w:color w:val="000000"/>
          <w:spacing w:val="-4"/>
          <w:kern w:val="0"/>
          <w:sz w:val="28"/>
          <w:szCs w:val="28"/>
          <w:lang w:eastAsia="en-US"/>
        </w:rPr>
        <w:t>。</w:t>
      </w:r>
      <w:bookmarkEnd w:id="112"/>
    </w:p>
    <w:p w14:paraId="399D8CE1">
      <w:pPr>
        <w:pStyle w:val="22"/>
        <w:numPr>
          <w:ilvl w:val="0"/>
          <w:numId w:val="2"/>
        </w:numPr>
        <w:spacing w:line="360" w:lineRule="auto"/>
        <w:ind w:firstLineChars="0"/>
        <w:outlineLvl w:val="0"/>
        <w:rPr>
          <w:rFonts w:hint="eastAsia" w:cs="宋体" w:asciiTheme="minorEastAsia" w:hAnsiTheme="minorEastAsia"/>
          <w:b/>
          <w:snapToGrid w:val="0"/>
          <w:color w:val="000000"/>
          <w:spacing w:val="-4"/>
          <w:kern w:val="0"/>
          <w:sz w:val="28"/>
          <w:szCs w:val="28"/>
          <w:lang w:val="en-US" w:eastAsia="zh-CN"/>
        </w:rPr>
      </w:pPr>
      <w:bookmarkStart w:id="113" w:name="_Toc10568"/>
      <w:r>
        <w:rPr>
          <w:rFonts w:hint="eastAsia" w:cs="宋体" w:asciiTheme="minorEastAsia" w:hAnsiTheme="minorEastAsia"/>
          <w:b/>
          <w:snapToGrid w:val="0"/>
          <w:color w:val="000000"/>
          <w:spacing w:val="-4"/>
          <w:kern w:val="0"/>
          <w:sz w:val="28"/>
          <w:szCs w:val="28"/>
          <w:lang w:val="en-US" w:eastAsia="zh-CN"/>
        </w:rPr>
        <w:t>交易编码是什么</w:t>
      </w:r>
      <w:bookmarkEnd w:id="113"/>
    </w:p>
    <w:p w14:paraId="54B9F6CD">
      <w:pPr>
        <w:pStyle w:val="22"/>
        <w:numPr>
          <w:ilvl w:val="0"/>
          <w:numId w:val="0"/>
        </w:numPr>
        <w:spacing w:line="360" w:lineRule="auto"/>
        <w:ind w:leftChars="0"/>
        <w:outlineLvl w:val="0"/>
        <w:rPr>
          <w:rFonts w:hint="eastAsia" w:cs="宋体" w:asciiTheme="minorEastAsia" w:hAnsiTheme="minorEastAsia"/>
          <w:b/>
          <w:snapToGrid w:val="0"/>
          <w:color w:val="000000"/>
          <w:spacing w:val="-4"/>
          <w:kern w:val="0"/>
          <w:sz w:val="28"/>
          <w:szCs w:val="28"/>
          <w:lang w:val="en-US" w:eastAsia="zh-CN"/>
        </w:rPr>
      </w:pPr>
      <w:bookmarkStart w:id="114" w:name="_Toc11790"/>
      <w:r>
        <w:rPr>
          <w:rFonts w:hint="eastAsia" w:cs="宋体" w:asciiTheme="minorEastAsia" w:hAnsiTheme="minorEastAsia"/>
          <w:snapToGrid w:val="0"/>
          <w:color w:val="000000"/>
          <w:spacing w:val="-4"/>
          <w:kern w:val="0"/>
          <w:sz w:val="28"/>
          <w:szCs w:val="28"/>
          <w:lang w:val="en-US" w:eastAsia="zh-CN"/>
        </w:rPr>
        <w:t>期货交易编码是指会员和客户进行期货交易的专用代码。交易编码由十二位数字构成，前四位为会员号，后八位为客户号，一个客户可以在不同的会员处开户，但在交易所内只能有一个客户号，故只能是会员号不同，而客户号必须相同。</w:t>
      </w:r>
      <w:bookmarkEnd w:id="114"/>
      <w:r>
        <w:rPr>
          <w:rFonts w:hint="eastAsia" w:cs="宋体" w:asciiTheme="minorEastAsia" w:hAnsiTheme="minorEastAsia"/>
          <w:snapToGrid w:val="0"/>
          <w:color w:val="000000"/>
          <w:spacing w:val="-4"/>
          <w:kern w:val="0"/>
          <w:sz w:val="28"/>
          <w:szCs w:val="28"/>
          <w:lang w:val="en-US" w:eastAsia="zh-CN"/>
        </w:rPr>
        <w:t xml:space="preserve"> </w:t>
      </w:r>
    </w:p>
    <w:p w14:paraId="0298DF2A">
      <w:pPr>
        <w:pStyle w:val="22"/>
        <w:numPr>
          <w:ilvl w:val="0"/>
          <w:numId w:val="2"/>
        </w:numPr>
        <w:spacing w:line="360" w:lineRule="auto"/>
        <w:ind w:firstLineChars="0"/>
        <w:outlineLvl w:val="0"/>
        <w:rPr>
          <w:rFonts w:hint="eastAsia" w:cs="宋体" w:asciiTheme="minorEastAsia" w:hAnsiTheme="minorEastAsia"/>
          <w:b/>
          <w:snapToGrid w:val="0"/>
          <w:color w:val="000000"/>
          <w:spacing w:val="-4"/>
          <w:kern w:val="0"/>
          <w:sz w:val="28"/>
          <w:szCs w:val="28"/>
          <w:lang w:val="en-US" w:eastAsia="zh-CN"/>
        </w:rPr>
      </w:pPr>
      <w:bookmarkStart w:id="115" w:name="_Toc13995"/>
      <w:r>
        <w:rPr>
          <w:rFonts w:hint="eastAsia" w:cs="宋体" w:asciiTheme="minorEastAsia" w:hAnsiTheme="minorEastAsia"/>
          <w:b/>
          <w:snapToGrid w:val="0"/>
          <w:color w:val="000000"/>
          <w:spacing w:val="-4"/>
          <w:kern w:val="0"/>
          <w:sz w:val="28"/>
          <w:szCs w:val="28"/>
          <w:lang w:eastAsia="en-US"/>
        </w:rPr>
        <w:t>如何进行投资者适当性知识测试</w:t>
      </w:r>
      <w:bookmarkEnd w:id="115"/>
    </w:p>
    <w:p w14:paraId="146B8B76">
      <w:pPr>
        <w:pStyle w:val="22"/>
        <w:numPr>
          <w:ilvl w:val="0"/>
          <w:numId w:val="0"/>
        </w:numPr>
        <w:spacing w:line="360" w:lineRule="auto"/>
        <w:ind w:leftChars="0"/>
        <w:outlineLvl w:val="0"/>
        <w:rPr>
          <w:rFonts w:hint="eastAsia" w:cs="宋体" w:asciiTheme="minorEastAsia" w:hAnsiTheme="minorEastAsia"/>
          <w:b/>
          <w:snapToGrid w:val="0"/>
          <w:color w:val="000000"/>
          <w:spacing w:val="-4"/>
          <w:kern w:val="0"/>
          <w:sz w:val="28"/>
          <w:szCs w:val="28"/>
          <w:lang w:val="en-US" w:eastAsia="zh-CN"/>
        </w:rPr>
      </w:pPr>
      <w:bookmarkStart w:id="116" w:name="_Toc17467"/>
      <w:r>
        <w:rPr>
          <w:rFonts w:hint="eastAsia" w:cs="宋体" w:asciiTheme="minorEastAsia" w:hAnsiTheme="minorEastAsia"/>
          <w:snapToGrid w:val="0"/>
          <w:color w:val="000000"/>
          <w:spacing w:val="-4"/>
          <w:kern w:val="0"/>
          <w:sz w:val="28"/>
          <w:szCs w:val="28"/>
          <w:lang w:eastAsia="en-US"/>
        </w:rPr>
        <w:t>投资者可通过登录中国期货业协会官网，点击【适当性测试】--【期货交易基础知识测试（中文）】，注册准考证后进行相关测试。参与测试前，投资者需点击【调试设备】进行检查，确保相关设备可以正常使用。该测试限时30分钟，无次数限制，若测试没有通过，投资者可重新注册准考证并登录进行考试。</w:t>
      </w:r>
      <w:bookmarkEnd w:id="116"/>
      <w:r>
        <w:rPr>
          <w:rFonts w:hint="eastAsia" w:cs="宋体" w:asciiTheme="minorEastAsia" w:hAnsiTheme="minorEastAsia"/>
          <w:b/>
          <w:snapToGrid w:val="0"/>
          <w:color w:val="000000"/>
          <w:spacing w:val="-4"/>
          <w:kern w:val="0"/>
          <w:sz w:val="28"/>
          <w:szCs w:val="28"/>
          <w:lang w:val="en-US" w:eastAsia="zh-CN"/>
        </w:rPr>
        <w:t xml:space="preserve"> </w:t>
      </w:r>
    </w:p>
    <w:p w14:paraId="5766C6FC">
      <w:pPr>
        <w:pStyle w:val="22"/>
        <w:numPr>
          <w:ilvl w:val="0"/>
          <w:numId w:val="2"/>
        </w:numPr>
        <w:spacing w:line="360" w:lineRule="auto"/>
        <w:ind w:firstLineChars="0"/>
        <w:outlineLvl w:val="0"/>
        <w:rPr>
          <w:rFonts w:hint="eastAsia" w:cs="宋体" w:asciiTheme="minorEastAsia" w:hAnsiTheme="minorEastAsia"/>
          <w:b/>
          <w:snapToGrid w:val="0"/>
          <w:color w:val="000000"/>
          <w:spacing w:val="-4"/>
          <w:kern w:val="0"/>
          <w:sz w:val="28"/>
          <w:szCs w:val="28"/>
          <w:lang w:val="en-US" w:eastAsia="zh-CN"/>
        </w:rPr>
      </w:pPr>
      <w:bookmarkStart w:id="117" w:name="_Toc8385"/>
      <w:r>
        <w:rPr>
          <w:rFonts w:hint="eastAsia" w:cs="宋体" w:asciiTheme="minorEastAsia" w:hAnsiTheme="minorEastAsia"/>
          <w:b/>
          <w:snapToGrid w:val="0"/>
          <w:color w:val="000000"/>
          <w:spacing w:val="-4"/>
          <w:kern w:val="0"/>
          <w:sz w:val="28"/>
          <w:szCs w:val="28"/>
          <w:lang w:eastAsia="en-US"/>
        </w:rPr>
        <w:t>开户时绑定的银行卡或变更的银行卡可以使用非本人的银行吗</w:t>
      </w:r>
      <w:bookmarkEnd w:id="117"/>
    </w:p>
    <w:p w14:paraId="7C926E6A">
      <w:pPr>
        <w:pStyle w:val="22"/>
        <w:numPr>
          <w:ilvl w:val="0"/>
          <w:numId w:val="0"/>
        </w:numPr>
        <w:spacing w:line="360" w:lineRule="auto"/>
        <w:ind w:leftChars="0"/>
        <w:outlineLvl w:val="0"/>
        <w:rPr>
          <w:rFonts w:hint="eastAsia" w:cs="宋体" w:asciiTheme="minorEastAsia" w:hAnsiTheme="minorEastAsia"/>
          <w:b/>
          <w:snapToGrid w:val="0"/>
          <w:color w:val="000000"/>
          <w:spacing w:val="-4"/>
          <w:kern w:val="0"/>
          <w:sz w:val="28"/>
          <w:szCs w:val="28"/>
          <w:lang w:val="en-US" w:eastAsia="zh-CN"/>
        </w:rPr>
      </w:pPr>
      <w:bookmarkStart w:id="118" w:name="_Toc18745"/>
      <w:r>
        <w:rPr>
          <w:rFonts w:hint="eastAsia" w:cs="宋体" w:asciiTheme="minorEastAsia" w:hAnsiTheme="minorEastAsia"/>
          <w:snapToGrid w:val="0"/>
          <w:color w:val="000000"/>
          <w:spacing w:val="-4"/>
          <w:kern w:val="0"/>
          <w:sz w:val="28"/>
          <w:szCs w:val="28"/>
          <w:lang w:eastAsia="en-US"/>
        </w:rPr>
        <w:t>不可以，非本人银行卡无法办理银期签约。</w:t>
      </w:r>
      <w:bookmarkEnd w:id="118"/>
    </w:p>
    <w:p w14:paraId="6A42E743">
      <w:pPr>
        <w:pStyle w:val="22"/>
        <w:numPr>
          <w:ilvl w:val="0"/>
          <w:numId w:val="2"/>
        </w:numPr>
        <w:spacing w:line="360" w:lineRule="auto"/>
        <w:ind w:firstLineChars="0"/>
        <w:outlineLvl w:val="0"/>
        <w:rPr>
          <w:rFonts w:hint="eastAsia" w:cs="宋体" w:asciiTheme="minorEastAsia" w:hAnsiTheme="minorEastAsia"/>
          <w:b/>
          <w:snapToGrid w:val="0"/>
          <w:color w:val="000000"/>
          <w:spacing w:val="-4"/>
          <w:kern w:val="0"/>
          <w:sz w:val="28"/>
          <w:szCs w:val="28"/>
          <w:lang w:val="en-US" w:eastAsia="zh-CN"/>
        </w:rPr>
      </w:pPr>
      <w:bookmarkStart w:id="119" w:name="_Toc27814"/>
      <w:r>
        <w:rPr>
          <w:rFonts w:hint="eastAsia" w:cs="宋体" w:asciiTheme="minorEastAsia" w:hAnsiTheme="minorEastAsia"/>
          <w:b/>
          <w:snapToGrid w:val="0"/>
          <w:color w:val="000000"/>
          <w:spacing w:val="-4"/>
          <w:kern w:val="0"/>
          <w:sz w:val="28"/>
          <w:szCs w:val="28"/>
          <w:lang w:eastAsia="en-US"/>
        </w:rPr>
        <w:t>其他期货公司开户时已经绑定过此银行卡，还可以再次绑定吗</w:t>
      </w:r>
      <w:r>
        <w:rPr>
          <w:rFonts w:hint="eastAsia" w:cs="宋体" w:asciiTheme="minorEastAsia" w:hAnsiTheme="minorEastAsia"/>
          <w:b/>
          <w:snapToGrid w:val="0"/>
          <w:color w:val="000000"/>
          <w:spacing w:val="-4"/>
          <w:kern w:val="0"/>
          <w:sz w:val="28"/>
          <w:szCs w:val="28"/>
          <w:lang w:eastAsia="en-US"/>
        </w:rPr>
        <w:cr/>
      </w:r>
      <w:bookmarkEnd w:id="119"/>
    </w:p>
    <w:p w14:paraId="35489925">
      <w:pPr>
        <w:pStyle w:val="22"/>
        <w:numPr>
          <w:ilvl w:val="0"/>
          <w:numId w:val="0"/>
        </w:numPr>
        <w:spacing w:line="360" w:lineRule="auto"/>
        <w:ind w:leftChars="0"/>
        <w:outlineLvl w:val="0"/>
        <w:rPr>
          <w:rFonts w:hint="eastAsia" w:cs="宋体" w:asciiTheme="minorEastAsia" w:hAnsiTheme="minorEastAsia"/>
          <w:b/>
          <w:snapToGrid w:val="0"/>
          <w:color w:val="000000"/>
          <w:spacing w:val="-4"/>
          <w:kern w:val="0"/>
          <w:sz w:val="28"/>
          <w:szCs w:val="28"/>
          <w:lang w:val="en-US" w:eastAsia="zh-CN"/>
        </w:rPr>
      </w:pPr>
      <w:bookmarkStart w:id="120" w:name="_Toc26385"/>
      <w:r>
        <w:rPr>
          <w:rFonts w:hint="eastAsia" w:cs="宋体" w:asciiTheme="minorEastAsia" w:hAnsiTheme="minorEastAsia"/>
          <w:snapToGrid w:val="0"/>
          <w:color w:val="000000"/>
          <w:spacing w:val="-4"/>
          <w:kern w:val="0"/>
          <w:sz w:val="28"/>
          <w:szCs w:val="28"/>
          <w:lang w:eastAsia="en-US"/>
        </w:rPr>
        <w:t>可以，同一银行卡最多支持绑定五家期货公司。</w:t>
      </w:r>
      <w:bookmarkEnd w:id="120"/>
      <w:r>
        <w:rPr>
          <w:rFonts w:hint="eastAsia" w:cs="宋体" w:asciiTheme="minorEastAsia" w:hAnsiTheme="minorEastAsia"/>
          <w:b/>
          <w:snapToGrid w:val="0"/>
          <w:color w:val="000000"/>
          <w:spacing w:val="-4"/>
          <w:kern w:val="0"/>
          <w:sz w:val="28"/>
          <w:szCs w:val="28"/>
          <w:lang w:val="en-US" w:eastAsia="zh-CN"/>
        </w:rPr>
        <w:t xml:space="preserve"> </w:t>
      </w:r>
    </w:p>
    <w:p w14:paraId="13804065">
      <w:pPr>
        <w:pStyle w:val="22"/>
        <w:numPr>
          <w:ilvl w:val="0"/>
          <w:numId w:val="2"/>
        </w:numPr>
        <w:spacing w:line="360" w:lineRule="auto"/>
        <w:ind w:firstLineChars="0"/>
        <w:outlineLvl w:val="0"/>
        <w:rPr>
          <w:rFonts w:hint="eastAsia" w:cs="宋体" w:asciiTheme="minorEastAsia" w:hAnsiTheme="minorEastAsia"/>
          <w:b/>
          <w:snapToGrid w:val="0"/>
          <w:color w:val="000000"/>
          <w:spacing w:val="-4"/>
          <w:kern w:val="0"/>
          <w:sz w:val="28"/>
          <w:szCs w:val="28"/>
          <w:lang w:val="en-US" w:eastAsia="zh-CN"/>
        </w:rPr>
      </w:pPr>
      <w:bookmarkStart w:id="121" w:name="_Toc22572"/>
      <w:r>
        <w:rPr>
          <w:rFonts w:hint="eastAsia" w:cs="宋体" w:asciiTheme="minorEastAsia" w:hAnsiTheme="minorEastAsia"/>
          <w:b/>
          <w:snapToGrid w:val="0"/>
          <w:color w:val="000000"/>
          <w:spacing w:val="-4"/>
          <w:kern w:val="0"/>
          <w:sz w:val="28"/>
          <w:szCs w:val="28"/>
          <w:lang w:eastAsia="en-US"/>
        </w:rPr>
        <w:t>可以绑定几张银行卡</w:t>
      </w:r>
      <w:bookmarkEnd w:id="121"/>
    </w:p>
    <w:p w14:paraId="32028C26">
      <w:pPr>
        <w:pStyle w:val="22"/>
        <w:numPr>
          <w:ilvl w:val="0"/>
          <w:numId w:val="0"/>
        </w:numPr>
        <w:spacing w:line="360" w:lineRule="auto"/>
        <w:ind w:leftChars="0"/>
        <w:outlineLvl w:val="0"/>
        <w:rPr>
          <w:rFonts w:hint="eastAsia" w:cs="宋体" w:asciiTheme="minorEastAsia" w:hAnsiTheme="minorEastAsia"/>
          <w:b/>
          <w:snapToGrid w:val="0"/>
          <w:color w:val="000000"/>
          <w:spacing w:val="-4"/>
          <w:kern w:val="0"/>
          <w:sz w:val="28"/>
          <w:szCs w:val="28"/>
          <w:lang w:val="en-US" w:eastAsia="zh-CN"/>
        </w:rPr>
      </w:pPr>
      <w:bookmarkStart w:id="122" w:name="_Toc30837"/>
      <w:r>
        <w:rPr>
          <w:rFonts w:hint="eastAsia" w:cs="宋体" w:asciiTheme="minorEastAsia" w:hAnsiTheme="minorEastAsia"/>
          <w:snapToGrid w:val="0"/>
          <w:color w:val="000000"/>
          <w:spacing w:val="-4"/>
          <w:kern w:val="0"/>
          <w:sz w:val="28"/>
          <w:szCs w:val="28"/>
          <w:lang w:eastAsia="en-US"/>
        </w:rPr>
        <w:t>我司期货账户最多支持绑定</w:t>
      </w:r>
      <w:r>
        <w:rPr>
          <w:rFonts w:hint="eastAsia" w:cs="宋体" w:asciiTheme="minorEastAsia" w:hAnsiTheme="minorEastAsia"/>
          <w:snapToGrid w:val="0"/>
          <w:color w:val="000000"/>
          <w:spacing w:val="-4"/>
          <w:kern w:val="0"/>
          <w:sz w:val="28"/>
          <w:szCs w:val="28"/>
        </w:rPr>
        <w:t>一张</w:t>
      </w:r>
      <w:r>
        <w:rPr>
          <w:rFonts w:hint="eastAsia" w:cs="宋体" w:asciiTheme="minorEastAsia" w:hAnsiTheme="minorEastAsia"/>
          <w:snapToGrid w:val="0"/>
          <w:color w:val="000000"/>
          <w:spacing w:val="-4"/>
          <w:kern w:val="0"/>
          <w:sz w:val="28"/>
          <w:szCs w:val="28"/>
          <w:lang w:eastAsia="en-US"/>
        </w:rPr>
        <w:t>银行卡。</w:t>
      </w:r>
      <w:bookmarkEnd w:id="122"/>
      <w:r>
        <w:rPr>
          <w:rFonts w:hint="eastAsia" w:cs="宋体" w:asciiTheme="minorEastAsia" w:hAnsiTheme="minorEastAsia"/>
          <w:b/>
          <w:snapToGrid w:val="0"/>
          <w:color w:val="000000"/>
          <w:spacing w:val="-4"/>
          <w:kern w:val="0"/>
          <w:sz w:val="28"/>
          <w:szCs w:val="28"/>
          <w:lang w:val="en-US" w:eastAsia="zh-CN"/>
        </w:rPr>
        <w:t xml:space="preserve"> </w:t>
      </w:r>
    </w:p>
    <w:p w14:paraId="19162690">
      <w:pPr>
        <w:pStyle w:val="22"/>
        <w:numPr>
          <w:ilvl w:val="0"/>
          <w:numId w:val="2"/>
        </w:numPr>
        <w:spacing w:line="360" w:lineRule="auto"/>
        <w:ind w:firstLineChars="0"/>
        <w:outlineLvl w:val="0"/>
        <w:rPr>
          <w:rFonts w:hint="eastAsia" w:cs="宋体" w:asciiTheme="minorEastAsia" w:hAnsiTheme="minorEastAsia"/>
          <w:b/>
          <w:snapToGrid w:val="0"/>
          <w:color w:val="000000"/>
          <w:spacing w:val="-4"/>
          <w:kern w:val="0"/>
          <w:sz w:val="28"/>
          <w:szCs w:val="28"/>
          <w:lang w:val="en-US" w:eastAsia="zh-CN"/>
        </w:rPr>
      </w:pPr>
      <w:bookmarkStart w:id="123" w:name="_Toc16066"/>
      <w:r>
        <w:rPr>
          <w:rFonts w:hint="eastAsia" w:cs="宋体" w:asciiTheme="minorEastAsia" w:hAnsiTheme="minorEastAsia"/>
          <w:b/>
          <w:snapToGrid w:val="0"/>
          <w:color w:val="000000"/>
          <w:spacing w:val="-4"/>
          <w:kern w:val="0"/>
          <w:sz w:val="28"/>
          <w:szCs w:val="28"/>
          <w:lang w:eastAsia="en-US"/>
        </w:rPr>
        <w:t>提示结算银行已存在是什么原因如何删除已上传银行信息</w:t>
      </w:r>
      <w:bookmarkEnd w:id="123"/>
    </w:p>
    <w:p w14:paraId="65236336">
      <w:pPr>
        <w:pStyle w:val="22"/>
        <w:numPr>
          <w:ilvl w:val="0"/>
          <w:numId w:val="0"/>
        </w:numPr>
        <w:spacing w:line="360" w:lineRule="auto"/>
        <w:ind w:leftChars="0"/>
        <w:outlineLvl w:val="0"/>
        <w:rPr>
          <w:rFonts w:hint="eastAsia" w:cs="宋体" w:asciiTheme="minorEastAsia" w:hAnsiTheme="minorEastAsia"/>
          <w:b/>
          <w:snapToGrid w:val="0"/>
          <w:color w:val="000000"/>
          <w:spacing w:val="-4"/>
          <w:kern w:val="0"/>
          <w:sz w:val="28"/>
          <w:szCs w:val="28"/>
          <w:lang w:val="en-US" w:eastAsia="zh-CN"/>
        </w:rPr>
      </w:pPr>
      <w:bookmarkStart w:id="124" w:name="_Toc12432"/>
      <w:r>
        <w:rPr>
          <w:rFonts w:hint="eastAsia" w:cs="宋体" w:asciiTheme="minorEastAsia" w:hAnsiTheme="minorEastAsia"/>
          <w:snapToGrid w:val="0"/>
          <w:color w:val="000000"/>
          <w:spacing w:val="-4"/>
          <w:kern w:val="0"/>
          <w:sz w:val="28"/>
          <w:szCs w:val="28"/>
          <w:lang w:eastAsia="en-US"/>
        </w:rPr>
        <w:t>如提示指定银期账户中的结算银行已存在属于重复上传信息（照片上传多次），需在照片右侧点击“X”删除重复信息。</w:t>
      </w:r>
      <w:bookmarkEnd w:id="124"/>
    </w:p>
    <w:p w14:paraId="53AD70B6">
      <w:pPr>
        <w:pStyle w:val="22"/>
        <w:numPr>
          <w:ilvl w:val="0"/>
          <w:numId w:val="2"/>
        </w:numPr>
        <w:spacing w:line="360" w:lineRule="auto"/>
        <w:ind w:firstLineChars="0"/>
        <w:outlineLvl w:val="0"/>
        <w:rPr>
          <w:rFonts w:hint="eastAsia" w:cs="宋体" w:asciiTheme="minorEastAsia" w:hAnsiTheme="minorEastAsia"/>
          <w:b/>
          <w:snapToGrid w:val="0"/>
          <w:color w:val="000000"/>
          <w:spacing w:val="-4"/>
          <w:kern w:val="0"/>
          <w:sz w:val="28"/>
          <w:szCs w:val="28"/>
          <w:lang w:val="en-US" w:eastAsia="zh-CN"/>
        </w:rPr>
      </w:pPr>
      <w:bookmarkStart w:id="125" w:name="_Toc7796"/>
      <w:r>
        <w:rPr>
          <w:rFonts w:hint="eastAsia" w:cs="宋体" w:asciiTheme="minorEastAsia" w:hAnsiTheme="minorEastAsia"/>
          <w:b/>
          <w:snapToGrid w:val="0"/>
          <w:color w:val="000000"/>
          <w:spacing w:val="-4"/>
          <w:kern w:val="0"/>
          <w:sz w:val="28"/>
          <w:szCs w:val="28"/>
          <w:lang w:eastAsia="en-US"/>
        </w:rPr>
        <w:t>变更银行卡需要多久</w:t>
      </w:r>
      <w:bookmarkEnd w:id="125"/>
    </w:p>
    <w:p w14:paraId="2021C0CE">
      <w:pPr>
        <w:pStyle w:val="22"/>
        <w:numPr>
          <w:ilvl w:val="0"/>
          <w:numId w:val="0"/>
        </w:numPr>
        <w:spacing w:line="360" w:lineRule="auto"/>
        <w:ind w:leftChars="0"/>
        <w:outlineLvl w:val="0"/>
        <w:rPr>
          <w:rFonts w:hint="eastAsia" w:cs="宋体" w:asciiTheme="minorEastAsia" w:hAnsiTheme="minorEastAsia"/>
          <w:b/>
          <w:snapToGrid w:val="0"/>
          <w:color w:val="000000"/>
          <w:spacing w:val="-4"/>
          <w:kern w:val="0"/>
          <w:sz w:val="28"/>
          <w:szCs w:val="28"/>
          <w:lang w:val="en-US" w:eastAsia="zh-CN"/>
        </w:rPr>
      </w:pPr>
      <w:bookmarkStart w:id="126" w:name="_Toc5770"/>
      <w:r>
        <w:rPr>
          <w:rFonts w:hint="eastAsia" w:cs="宋体" w:asciiTheme="minorEastAsia" w:hAnsiTheme="minorEastAsia"/>
          <w:snapToGrid w:val="0"/>
          <w:color w:val="000000"/>
          <w:spacing w:val="-4"/>
          <w:kern w:val="0"/>
          <w:sz w:val="28"/>
          <w:szCs w:val="28"/>
          <w:lang w:eastAsia="en-US"/>
        </w:rPr>
        <w:t>投资者在下午1</w:t>
      </w:r>
      <w:r>
        <w:rPr>
          <w:rFonts w:hint="eastAsia" w:cs="宋体" w:asciiTheme="minorEastAsia" w:hAnsiTheme="minorEastAsia"/>
          <w:snapToGrid w:val="0"/>
          <w:color w:val="000000"/>
          <w:spacing w:val="-4"/>
          <w:kern w:val="0"/>
          <w:sz w:val="28"/>
          <w:szCs w:val="28"/>
        </w:rPr>
        <w:t>4</w:t>
      </w:r>
      <w:r>
        <w:rPr>
          <w:rFonts w:hint="eastAsia" w:cs="宋体" w:asciiTheme="minorEastAsia" w:hAnsiTheme="minorEastAsia"/>
          <w:snapToGrid w:val="0"/>
          <w:color w:val="000000"/>
          <w:spacing w:val="-4"/>
          <w:kern w:val="0"/>
          <w:sz w:val="28"/>
          <w:szCs w:val="28"/>
          <w:lang w:eastAsia="en-US"/>
        </w:rPr>
        <w:t>:</w:t>
      </w:r>
      <w:r>
        <w:rPr>
          <w:rFonts w:hint="eastAsia" w:cs="宋体" w:asciiTheme="minorEastAsia" w:hAnsiTheme="minorEastAsia"/>
          <w:snapToGrid w:val="0"/>
          <w:color w:val="000000"/>
          <w:spacing w:val="-4"/>
          <w:kern w:val="0"/>
          <w:sz w:val="28"/>
          <w:szCs w:val="28"/>
        </w:rPr>
        <w:t>5</w:t>
      </w:r>
      <w:r>
        <w:rPr>
          <w:rFonts w:hint="eastAsia" w:cs="宋体" w:asciiTheme="minorEastAsia" w:hAnsiTheme="minorEastAsia"/>
          <w:snapToGrid w:val="0"/>
          <w:color w:val="000000"/>
          <w:spacing w:val="-4"/>
          <w:kern w:val="0"/>
          <w:sz w:val="28"/>
          <w:szCs w:val="28"/>
          <w:lang w:eastAsia="en-US"/>
        </w:rPr>
        <w:t>0之前提交申请或柜台收到纸质材料，</w:t>
      </w:r>
      <w:r>
        <w:rPr>
          <w:rFonts w:hint="eastAsia" w:cs="宋体" w:asciiTheme="minorEastAsia" w:hAnsiTheme="minorEastAsia"/>
          <w:snapToGrid w:val="0"/>
          <w:color w:val="000000"/>
          <w:spacing w:val="-4"/>
          <w:kern w:val="0"/>
          <w:sz w:val="28"/>
          <w:szCs w:val="28"/>
        </w:rPr>
        <w:t>一般</w:t>
      </w:r>
      <w:r>
        <w:rPr>
          <w:rFonts w:hint="eastAsia" w:cs="宋体" w:asciiTheme="minorEastAsia" w:hAnsiTheme="minorEastAsia"/>
          <w:snapToGrid w:val="0"/>
          <w:color w:val="000000"/>
          <w:spacing w:val="-4"/>
          <w:kern w:val="0"/>
          <w:sz w:val="28"/>
          <w:szCs w:val="28"/>
          <w:lang w:eastAsia="en-US"/>
        </w:rPr>
        <w:t>当天可变更成功，如有其他问题，则以后续联系为准。</w:t>
      </w:r>
      <w:bookmarkEnd w:id="126"/>
      <w:r>
        <w:rPr>
          <w:rFonts w:hint="eastAsia" w:cs="宋体" w:asciiTheme="minorEastAsia" w:hAnsiTheme="minorEastAsia"/>
          <w:b/>
          <w:snapToGrid w:val="0"/>
          <w:color w:val="000000"/>
          <w:spacing w:val="-4"/>
          <w:kern w:val="0"/>
          <w:sz w:val="28"/>
          <w:szCs w:val="28"/>
          <w:lang w:val="en-US" w:eastAsia="zh-CN"/>
        </w:rPr>
        <w:t xml:space="preserve"> </w:t>
      </w:r>
    </w:p>
    <w:p w14:paraId="03EE3C15">
      <w:pPr>
        <w:pStyle w:val="22"/>
        <w:numPr>
          <w:ilvl w:val="0"/>
          <w:numId w:val="2"/>
        </w:numPr>
        <w:spacing w:line="360" w:lineRule="auto"/>
        <w:ind w:firstLineChars="0"/>
        <w:outlineLvl w:val="0"/>
        <w:rPr>
          <w:rFonts w:hint="eastAsia" w:cs="宋体" w:asciiTheme="minorEastAsia" w:hAnsiTheme="minorEastAsia"/>
          <w:b/>
          <w:snapToGrid w:val="0"/>
          <w:color w:val="000000"/>
          <w:spacing w:val="-4"/>
          <w:kern w:val="0"/>
          <w:sz w:val="28"/>
          <w:szCs w:val="28"/>
          <w:highlight w:val="yellow"/>
          <w:lang w:val="en-US" w:eastAsia="zh-CN"/>
        </w:rPr>
      </w:pPr>
      <w:bookmarkStart w:id="127" w:name="_Toc1521"/>
      <w:r>
        <w:rPr>
          <w:rFonts w:hint="eastAsia" w:cs="宋体" w:asciiTheme="minorEastAsia" w:hAnsiTheme="minorEastAsia"/>
          <w:b/>
          <w:snapToGrid w:val="0"/>
          <w:color w:val="000000"/>
          <w:spacing w:val="-4"/>
          <w:kern w:val="0"/>
          <w:sz w:val="28"/>
          <w:szCs w:val="28"/>
          <w:highlight w:val="yellow"/>
          <w:lang w:val="en-US" w:eastAsia="zh-CN"/>
        </w:rPr>
        <w:t>如何变更银行卡信息</w:t>
      </w:r>
      <w:bookmarkEnd w:id="127"/>
    </w:p>
    <w:p w14:paraId="18407467">
      <w:pPr>
        <w:pStyle w:val="22"/>
        <w:numPr>
          <w:ilvl w:val="0"/>
          <w:numId w:val="0"/>
        </w:numPr>
        <w:spacing w:line="360" w:lineRule="auto"/>
        <w:ind w:leftChars="0"/>
        <w:outlineLvl w:val="0"/>
        <w:rPr>
          <w:rFonts w:hint="eastAsia" w:cs="宋体" w:asciiTheme="minorEastAsia" w:hAnsiTheme="minorEastAsia"/>
          <w:snapToGrid w:val="0"/>
          <w:color w:val="000000"/>
          <w:spacing w:val="-4"/>
          <w:kern w:val="0"/>
          <w:sz w:val="28"/>
          <w:szCs w:val="28"/>
          <w:lang w:val="en-US" w:eastAsia="zh-CN"/>
        </w:rPr>
      </w:pPr>
      <w:bookmarkStart w:id="128" w:name="_Toc6643"/>
      <w:r>
        <w:rPr>
          <w:rFonts w:hint="eastAsia" w:cs="宋体" w:asciiTheme="minorEastAsia" w:hAnsiTheme="minorEastAsia"/>
          <w:snapToGrid w:val="0"/>
          <w:color w:val="000000"/>
          <w:spacing w:val="-4"/>
          <w:kern w:val="0"/>
          <w:sz w:val="28"/>
          <w:szCs w:val="28"/>
          <w:lang w:val="en-US" w:eastAsia="zh-CN"/>
        </w:rPr>
        <w:t>可通过以下三种方式进行修改：</w:t>
      </w:r>
      <w:bookmarkEnd w:id="128"/>
    </w:p>
    <w:p w14:paraId="7F028BFB">
      <w:pPr>
        <w:pStyle w:val="22"/>
        <w:numPr>
          <w:ilvl w:val="0"/>
          <w:numId w:val="0"/>
        </w:numPr>
        <w:spacing w:line="360" w:lineRule="auto"/>
        <w:ind w:leftChars="0"/>
        <w:outlineLvl w:val="0"/>
        <w:rPr>
          <w:rFonts w:hint="eastAsia" w:cs="宋体" w:asciiTheme="minorEastAsia" w:hAnsiTheme="minorEastAsia"/>
          <w:snapToGrid w:val="0"/>
          <w:color w:val="000000"/>
          <w:spacing w:val="-4"/>
          <w:kern w:val="0"/>
          <w:sz w:val="28"/>
          <w:szCs w:val="28"/>
          <w:lang w:val="en-US" w:eastAsia="zh-CN"/>
        </w:rPr>
      </w:pPr>
      <w:bookmarkStart w:id="129" w:name="_Toc15292"/>
      <w:r>
        <w:rPr>
          <w:rFonts w:hint="eastAsia" w:cs="宋体" w:asciiTheme="minorEastAsia" w:hAnsiTheme="minorEastAsia"/>
          <w:snapToGrid w:val="0"/>
          <w:color w:val="000000"/>
          <w:spacing w:val="-4"/>
          <w:kern w:val="0"/>
          <w:sz w:val="28"/>
          <w:szCs w:val="28"/>
          <w:lang w:val="en-US" w:eastAsia="zh-CN"/>
        </w:rPr>
        <w:t>(1)通过掌厅进行修改：可通过通惠期货手机软件点击【首页】--【掌上营业厅】--【修改银行卡】进行修改。</w:t>
      </w:r>
      <w:bookmarkEnd w:id="129"/>
    </w:p>
    <w:p w14:paraId="717D120E">
      <w:pPr>
        <w:pStyle w:val="22"/>
        <w:numPr>
          <w:ilvl w:val="0"/>
          <w:numId w:val="0"/>
        </w:numPr>
        <w:spacing w:line="360" w:lineRule="auto"/>
        <w:ind w:leftChars="0"/>
        <w:outlineLvl w:val="0"/>
        <w:rPr>
          <w:rFonts w:hint="eastAsia" w:cs="宋体" w:asciiTheme="minorEastAsia" w:hAnsiTheme="minorEastAsia"/>
          <w:snapToGrid w:val="0"/>
          <w:color w:val="000000"/>
          <w:spacing w:val="-4"/>
          <w:kern w:val="0"/>
          <w:sz w:val="28"/>
          <w:szCs w:val="28"/>
          <w:lang w:val="en-US" w:eastAsia="zh-CN"/>
        </w:rPr>
      </w:pPr>
      <w:bookmarkStart w:id="130" w:name="_Toc28586"/>
      <w:r>
        <w:rPr>
          <w:rFonts w:hint="eastAsia" w:cs="宋体" w:asciiTheme="minorEastAsia" w:hAnsiTheme="minorEastAsia"/>
          <w:snapToGrid w:val="0"/>
          <w:color w:val="000000"/>
          <w:spacing w:val="-4"/>
          <w:kern w:val="0"/>
          <w:sz w:val="28"/>
          <w:szCs w:val="28"/>
          <w:lang w:val="en-US" w:eastAsia="zh-CN"/>
        </w:rPr>
        <w:t>(2)通过云平台进行修改：通惠期货手机软件点击【首页】--【网上开户】--【修改结算账户】或期货开户云软件点击【修改结算账户】进行修改。</w:t>
      </w:r>
      <w:bookmarkEnd w:id="130"/>
    </w:p>
    <w:p w14:paraId="199F7E4B">
      <w:pPr>
        <w:pStyle w:val="22"/>
        <w:numPr>
          <w:ilvl w:val="0"/>
          <w:numId w:val="0"/>
        </w:numPr>
        <w:spacing w:line="360" w:lineRule="auto"/>
        <w:ind w:leftChars="0"/>
        <w:outlineLvl w:val="0"/>
        <w:rPr>
          <w:rFonts w:hint="eastAsia" w:cs="宋体" w:asciiTheme="minorEastAsia" w:hAnsiTheme="minorEastAsia"/>
          <w:snapToGrid w:val="0"/>
          <w:color w:val="000000"/>
          <w:spacing w:val="-4"/>
          <w:kern w:val="0"/>
          <w:sz w:val="28"/>
          <w:szCs w:val="28"/>
          <w:lang w:val="en-US" w:eastAsia="zh-CN"/>
        </w:rPr>
      </w:pPr>
      <w:bookmarkStart w:id="131" w:name="_Toc12275"/>
      <w:r>
        <w:rPr>
          <w:rFonts w:hint="eastAsia" w:cs="宋体" w:asciiTheme="minorEastAsia" w:hAnsiTheme="minorEastAsia"/>
          <w:snapToGrid w:val="0"/>
          <w:color w:val="000000"/>
          <w:spacing w:val="-4"/>
          <w:kern w:val="0"/>
          <w:sz w:val="28"/>
          <w:szCs w:val="28"/>
          <w:lang w:val="en-US" w:eastAsia="zh-CN"/>
        </w:rPr>
        <w:t>(3)通过线下申请修改：通过填写纸质申请材料，邮寄至我司后进行修改。</w:t>
      </w:r>
      <w:bookmarkEnd w:id="131"/>
      <w:r>
        <w:rPr>
          <w:rFonts w:hint="eastAsia" w:cs="宋体" w:asciiTheme="minorEastAsia" w:hAnsiTheme="minorEastAsia"/>
          <w:snapToGrid w:val="0"/>
          <w:color w:val="000000"/>
          <w:spacing w:val="-4"/>
          <w:kern w:val="0"/>
          <w:sz w:val="28"/>
          <w:szCs w:val="28"/>
          <w:lang w:val="en-US" w:eastAsia="zh-CN"/>
        </w:rPr>
        <w:t xml:space="preserve"> </w:t>
      </w:r>
    </w:p>
    <w:p w14:paraId="03A8CA5D">
      <w:pPr>
        <w:pStyle w:val="22"/>
        <w:numPr>
          <w:ilvl w:val="0"/>
          <w:numId w:val="2"/>
        </w:numPr>
        <w:spacing w:line="360" w:lineRule="auto"/>
        <w:ind w:firstLineChars="0"/>
        <w:jc w:val="both"/>
        <w:outlineLvl w:val="0"/>
        <w:rPr>
          <w:rFonts w:hint="eastAsia" w:cs="宋体" w:asciiTheme="minorEastAsia" w:hAnsiTheme="minorEastAsia"/>
          <w:b/>
          <w:snapToGrid w:val="0"/>
          <w:color w:val="000000"/>
          <w:spacing w:val="-4"/>
          <w:kern w:val="0"/>
          <w:sz w:val="28"/>
          <w:szCs w:val="28"/>
          <w:lang w:val="en-US" w:eastAsia="zh-CN"/>
        </w:rPr>
      </w:pPr>
      <w:bookmarkStart w:id="132" w:name="_Toc8972"/>
      <w:r>
        <w:rPr>
          <w:rFonts w:hint="eastAsia" w:cs="宋体" w:asciiTheme="minorEastAsia" w:hAnsiTheme="minorEastAsia"/>
          <w:b/>
          <w:snapToGrid w:val="0"/>
          <w:color w:val="000000"/>
          <w:spacing w:val="-4"/>
          <w:kern w:val="0"/>
          <w:sz w:val="28"/>
          <w:szCs w:val="28"/>
        </w:rPr>
        <w:t>我的基本资料变更如何办理（联系方式、联系地址、学历</w:t>
      </w:r>
      <w:r>
        <w:rPr>
          <w:rFonts w:hint="eastAsia" w:cs="宋体" w:asciiTheme="minorEastAsia" w:hAnsiTheme="minorEastAsia"/>
          <w:b/>
          <w:snapToGrid w:val="0"/>
          <w:color w:val="000000"/>
          <w:spacing w:val="-4"/>
          <w:kern w:val="0"/>
          <w:sz w:val="28"/>
          <w:szCs w:val="28"/>
          <w:lang w:eastAsia="zh-CN"/>
        </w:rPr>
        <w:t>、</w:t>
      </w:r>
      <w:r>
        <w:rPr>
          <w:rFonts w:hint="eastAsia" w:cs="宋体" w:asciiTheme="minorEastAsia" w:hAnsiTheme="minorEastAsia"/>
          <w:b/>
          <w:snapToGrid w:val="0"/>
          <w:color w:val="000000"/>
          <w:spacing w:val="-4"/>
          <w:kern w:val="0"/>
          <w:sz w:val="28"/>
          <w:szCs w:val="28"/>
        </w:rPr>
        <w:t>职业、邮箱、身份证更新等）</w:t>
      </w:r>
      <w:bookmarkEnd w:id="132"/>
      <w:r>
        <w:rPr>
          <w:rFonts w:hint="eastAsia" w:cs="宋体" w:asciiTheme="minorEastAsia" w:hAnsiTheme="minorEastAsia"/>
          <w:b/>
          <w:snapToGrid w:val="0"/>
          <w:color w:val="000000"/>
          <w:spacing w:val="-4"/>
          <w:kern w:val="0"/>
          <w:sz w:val="28"/>
          <w:szCs w:val="28"/>
          <w:lang w:val="en-US" w:eastAsia="zh-CN"/>
        </w:rPr>
        <w:t xml:space="preserve"> </w:t>
      </w:r>
    </w:p>
    <w:p w14:paraId="37DE6A13">
      <w:pPr>
        <w:spacing w:line="360" w:lineRule="auto"/>
        <w:jc w:val="left"/>
        <w:outlineLvl w:val="1"/>
        <w:rPr>
          <w:rFonts w:cs="宋体" w:asciiTheme="minorEastAsia" w:hAnsiTheme="minorEastAsia"/>
          <w:snapToGrid w:val="0"/>
          <w:color w:val="000000"/>
          <w:spacing w:val="-4"/>
          <w:kern w:val="0"/>
          <w:sz w:val="28"/>
          <w:szCs w:val="28"/>
        </w:rPr>
      </w:pPr>
      <w:r>
        <w:rPr>
          <w:rFonts w:hint="eastAsia" w:cs="宋体" w:asciiTheme="minorEastAsia" w:hAnsiTheme="minorEastAsia"/>
          <w:snapToGrid w:val="0"/>
          <w:color w:val="000000"/>
          <w:spacing w:val="-4"/>
          <w:kern w:val="0"/>
          <w:sz w:val="28"/>
          <w:szCs w:val="28"/>
        </w:rPr>
        <w:t>可通过以下三种方式进行修改：</w:t>
      </w:r>
    </w:p>
    <w:p w14:paraId="4F3ED929">
      <w:pPr>
        <w:spacing w:line="360" w:lineRule="auto"/>
        <w:jc w:val="left"/>
        <w:outlineLvl w:val="1"/>
        <w:rPr>
          <w:rFonts w:cs="宋体" w:asciiTheme="minorEastAsia" w:hAnsiTheme="minorEastAsia"/>
          <w:snapToGrid w:val="0"/>
          <w:color w:val="000000"/>
          <w:spacing w:val="-4"/>
          <w:kern w:val="0"/>
          <w:sz w:val="28"/>
          <w:szCs w:val="28"/>
        </w:rPr>
      </w:pPr>
      <w:bookmarkStart w:id="133" w:name="_Toc142640282"/>
      <w:bookmarkStart w:id="134" w:name="_Toc11756"/>
      <w:bookmarkStart w:id="135" w:name="_Toc11648"/>
      <w:r>
        <w:rPr>
          <w:rFonts w:hint="eastAsia" w:cs="宋体" w:asciiTheme="minorEastAsia" w:hAnsiTheme="minorEastAsia"/>
          <w:snapToGrid w:val="0"/>
          <w:color w:val="000000"/>
          <w:spacing w:val="-4"/>
          <w:kern w:val="0"/>
          <w:sz w:val="28"/>
          <w:szCs w:val="28"/>
        </w:rPr>
        <w:t>(</w:t>
      </w:r>
      <w:r>
        <w:rPr>
          <w:rFonts w:hint="eastAsia" w:cs="宋体" w:asciiTheme="minorEastAsia" w:hAnsiTheme="minorEastAsia"/>
          <w:snapToGrid w:val="0"/>
          <w:color w:val="000000"/>
          <w:spacing w:val="-4"/>
          <w:kern w:val="0"/>
          <w:sz w:val="28"/>
          <w:szCs w:val="28"/>
          <w:lang w:eastAsia="en-US"/>
        </w:rPr>
        <w:t>1)</w:t>
      </w:r>
      <w:r>
        <w:rPr>
          <w:rFonts w:hint="eastAsia" w:cs="宋体" w:asciiTheme="minorEastAsia" w:hAnsiTheme="minorEastAsia"/>
          <w:snapToGrid w:val="0"/>
          <w:color w:val="000000"/>
          <w:spacing w:val="-4"/>
          <w:kern w:val="0"/>
          <w:sz w:val="28"/>
          <w:szCs w:val="28"/>
        </w:rPr>
        <w:t>通过掌厅进行修改：</w:t>
      </w:r>
      <w:r>
        <w:rPr>
          <w:rFonts w:hint="eastAsia" w:cs="宋体" w:asciiTheme="minorEastAsia" w:hAnsiTheme="minorEastAsia"/>
          <w:snapToGrid w:val="0"/>
          <w:color w:val="000000"/>
          <w:spacing w:val="-4"/>
          <w:kern w:val="0"/>
          <w:sz w:val="28"/>
          <w:szCs w:val="28"/>
          <w:lang w:eastAsia="en-US"/>
        </w:rPr>
        <w:t>可通过</w:t>
      </w:r>
      <w:r>
        <w:rPr>
          <w:rFonts w:hint="eastAsia" w:cs="宋体" w:asciiTheme="minorEastAsia" w:hAnsiTheme="minorEastAsia"/>
          <w:snapToGrid w:val="0"/>
          <w:color w:val="000000"/>
          <w:spacing w:val="-4"/>
          <w:kern w:val="0"/>
          <w:sz w:val="28"/>
          <w:szCs w:val="28"/>
        </w:rPr>
        <w:t>通惠</w:t>
      </w:r>
      <w:r>
        <w:rPr>
          <w:rFonts w:hint="eastAsia" w:cs="宋体" w:asciiTheme="minorEastAsia" w:hAnsiTheme="minorEastAsia"/>
          <w:snapToGrid w:val="0"/>
          <w:color w:val="000000"/>
          <w:spacing w:val="-4"/>
          <w:kern w:val="0"/>
          <w:sz w:val="28"/>
          <w:szCs w:val="28"/>
          <w:lang w:eastAsia="en-US"/>
        </w:rPr>
        <w:t>期货手机软件点击【</w:t>
      </w:r>
      <w:r>
        <w:rPr>
          <w:rFonts w:hint="eastAsia" w:cs="宋体" w:asciiTheme="minorEastAsia" w:hAnsiTheme="minorEastAsia"/>
          <w:snapToGrid w:val="0"/>
          <w:color w:val="000000"/>
          <w:spacing w:val="-4"/>
          <w:kern w:val="0"/>
          <w:sz w:val="28"/>
          <w:szCs w:val="28"/>
        </w:rPr>
        <w:t>首页</w:t>
      </w:r>
      <w:r>
        <w:rPr>
          <w:rFonts w:hint="eastAsia" w:cs="宋体" w:asciiTheme="minorEastAsia" w:hAnsiTheme="minorEastAsia"/>
          <w:snapToGrid w:val="0"/>
          <w:color w:val="000000"/>
          <w:spacing w:val="-4"/>
          <w:kern w:val="0"/>
          <w:sz w:val="28"/>
          <w:szCs w:val="28"/>
          <w:lang w:eastAsia="en-US"/>
        </w:rPr>
        <w:t>】--【</w:t>
      </w:r>
      <w:r>
        <w:rPr>
          <w:rFonts w:hint="eastAsia" w:cs="宋体" w:asciiTheme="minorEastAsia" w:hAnsiTheme="minorEastAsia"/>
          <w:snapToGrid w:val="0"/>
          <w:color w:val="000000"/>
          <w:spacing w:val="-4"/>
          <w:kern w:val="0"/>
          <w:sz w:val="28"/>
          <w:szCs w:val="28"/>
        </w:rPr>
        <w:t>掌上营业厅</w:t>
      </w:r>
      <w:r>
        <w:rPr>
          <w:rFonts w:hint="eastAsia" w:cs="宋体" w:asciiTheme="minorEastAsia" w:hAnsiTheme="minorEastAsia"/>
          <w:snapToGrid w:val="0"/>
          <w:color w:val="000000"/>
          <w:spacing w:val="-4"/>
          <w:kern w:val="0"/>
          <w:sz w:val="28"/>
          <w:szCs w:val="28"/>
          <w:lang w:eastAsia="en-US"/>
        </w:rPr>
        <w:t>】--【</w:t>
      </w:r>
      <w:r>
        <w:rPr>
          <w:rFonts w:hint="eastAsia" w:cs="宋体" w:asciiTheme="minorEastAsia" w:hAnsiTheme="minorEastAsia"/>
          <w:snapToGrid w:val="0"/>
          <w:color w:val="000000"/>
          <w:spacing w:val="-4"/>
          <w:kern w:val="0"/>
          <w:sz w:val="28"/>
          <w:szCs w:val="28"/>
        </w:rPr>
        <w:t>基本资料变更/身份证变更</w:t>
      </w:r>
      <w:r>
        <w:rPr>
          <w:rFonts w:hint="eastAsia" w:cs="宋体" w:asciiTheme="minorEastAsia" w:hAnsiTheme="minorEastAsia"/>
          <w:snapToGrid w:val="0"/>
          <w:color w:val="000000"/>
          <w:spacing w:val="-4"/>
          <w:kern w:val="0"/>
          <w:sz w:val="28"/>
          <w:szCs w:val="28"/>
          <w:lang w:eastAsia="en-US"/>
        </w:rPr>
        <w:t>】</w:t>
      </w:r>
      <w:r>
        <w:rPr>
          <w:rFonts w:hint="eastAsia" w:cs="宋体" w:asciiTheme="minorEastAsia" w:hAnsiTheme="minorEastAsia"/>
          <w:snapToGrid w:val="0"/>
          <w:color w:val="000000"/>
          <w:spacing w:val="-4"/>
          <w:kern w:val="0"/>
          <w:sz w:val="28"/>
          <w:szCs w:val="28"/>
        </w:rPr>
        <w:t>进行修改</w:t>
      </w:r>
      <w:r>
        <w:rPr>
          <w:rFonts w:hint="eastAsia" w:cs="宋体" w:asciiTheme="minorEastAsia" w:hAnsiTheme="minorEastAsia"/>
          <w:snapToGrid w:val="0"/>
          <w:color w:val="000000"/>
          <w:spacing w:val="-4"/>
          <w:kern w:val="0"/>
          <w:sz w:val="28"/>
          <w:szCs w:val="28"/>
          <w:lang w:eastAsia="en-US"/>
        </w:rPr>
        <w:t>。</w:t>
      </w:r>
      <w:bookmarkEnd w:id="133"/>
      <w:bookmarkEnd w:id="134"/>
      <w:bookmarkEnd w:id="135"/>
    </w:p>
    <w:p w14:paraId="4D9DBEB0">
      <w:pPr>
        <w:spacing w:line="360" w:lineRule="auto"/>
        <w:outlineLvl w:val="1"/>
        <w:rPr>
          <w:rFonts w:cs="宋体" w:asciiTheme="minorEastAsia" w:hAnsiTheme="minorEastAsia"/>
          <w:snapToGrid w:val="0"/>
          <w:color w:val="000000"/>
          <w:spacing w:val="-4"/>
          <w:kern w:val="0"/>
          <w:sz w:val="28"/>
          <w:szCs w:val="28"/>
        </w:rPr>
      </w:pPr>
      <w:bookmarkStart w:id="136" w:name="_Toc142640283"/>
      <w:bookmarkStart w:id="137" w:name="_Toc27202"/>
      <w:bookmarkStart w:id="138" w:name="_Toc32316"/>
      <w:r>
        <w:rPr>
          <w:rFonts w:hint="eastAsia" w:cs="宋体" w:asciiTheme="minorEastAsia" w:hAnsiTheme="minorEastAsia"/>
          <w:snapToGrid w:val="0"/>
          <w:color w:val="000000"/>
          <w:spacing w:val="-4"/>
          <w:kern w:val="0"/>
          <w:sz w:val="28"/>
          <w:szCs w:val="28"/>
        </w:rPr>
        <w:t>(2)通过云平台进行修改：通惠</w:t>
      </w:r>
      <w:r>
        <w:rPr>
          <w:rFonts w:hint="eastAsia" w:cs="宋体" w:asciiTheme="minorEastAsia" w:hAnsiTheme="minorEastAsia"/>
          <w:snapToGrid w:val="0"/>
          <w:color w:val="000000"/>
          <w:spacing w:val="-4"/>
          <w:kern w:val="0"/>
          <w:sz w:val="28"/>
          <w:szCs w:val="28"/>
          <w:lang w:eastAsia="en-US"/>
        </w:rPr>
        <w:t>期货手机软件点击【</w:t>
      </w:r>
      <w:r>
        <w:rPr>
          <w:rFonts w:hint="eastAsia" w:cs="宋体" w:asciiTheme="minorEastAsia" w:hAnsiTheme="minorEastAsia"/>
          <w:snapToGrid w:val="0"/>
          <w:color w:val="000000"/>
          <w:spacing w:val="-4"/>
          <w:kern w:val="0"/>
          <w:sz w:val="28"/>
          <w:szCs w:val="28"/>
        </w:rPr>
        <w:t>首页</w:t>
      </w:r>
      <w:r>
        <w:rPr>
          <w:rFonts w:hint="eastAsia" w:cs="宋体" w:asciiTheme="minorEastAsia" w:hAnsiTheme="minorEastAsia"/>
          <w:snapToGrid w:val="0"/>
          <w:color w:val="000000"/>
          <w:spacing w:val="-4"/>
          <w:kern w:val="0"/>
          <w:sz w:val="28"/>
          <w:szCs w:val="28"/>
          <w:lang w:eastAsia="en-US"/>
        </w:rPr>
        <w:t>】</w:t>
      </w:r>
      <w:r>
        <w:rPr>
          <w:rFonts w:hint="eastAsia" w:cs="宋体" w:asciiTheme="minorEastAsia" w:hAnsiTheme="minorEastAsia"/>
          <w:snapToGrid w:val="0"/>
          <w:color w:val="000000"/>
          <w:spacing w:val="-4"/>
          <w:kern w:val="0"/>
          <w:sz w:val="28"/>
          <w:szCs w:val="28"/>
        </w:rPr>
        <w:t>--</w:t>
      </w:r>
      <w:r>
        <w:rPr>
          <w:rFonts w:hint="eastAsia" w:cs="宋体" w:asciiTheme="minorEastAsia" w:hAnsiTheme="minorEastAsia"/>
          <w:snapToGrid w:val="0"/>
          <w:color w:val="000000"/>
          <w:spacing w:val="-4"/>
          <w:kern w:val="0"/>
          <w:sz w:val="28"/>
          <w:szCs w:val="28"/>
          <w:lang w:eastAsia="en-US"/>
        </w:rPr>
        <w:t>【</w:t>
      </w:r>
      <w:r>
        <w:rPr>
          <w:rFonts w:hint="eastAsia" w:cs="宋体" w:asciiTheme="minorEastAsia" w:hAnsiTheme="minorEastAsia"/>
          <w:snapToGrid w:val="0"/>
          <w:color w:val="000000"/>
          <w:spacing w:val="-4"/>
          <w:kern w:val="0"/>
          <w:sz w:val="28"/>
          <w:szCs w:val="28"/>
        </w:rPr>
        <w:t>网上开户</w:t>
      </w:r>
      <w:r>
        <w:rPr>
          <w:rFonts w:hint="eastAsia" w:cs="宋体" w:asciiTheme="minorEastAsia" w:hAnsiTheme="minorEastAsia"/>
          <w:snapToGrid w:val="0"/>
          <w:color w:val="000000"/>
          <w:spacing w:val="-4"/>
          <w:kern w:val="0"/>
          <w:sz w:val="28"/>
          <w:szCs w:val="28"/>
          <w:lang w:eastAsia="en-US"/>
        </w:rPr>
        <w:t>】</w:t>
      </w:r>
      <w:r>
        <w:rPr>
          <w:rFonts w:hint="eastAsia" w:cs="宋体" w:asciiTheme="minorEastAsia" w:hAnsiTheme="minorEastAsia"/>
          <w:snapToGrid w:val="0"/>
          <w:color w:val="000000"/>
          <w:spacing w:val="-4"/>
          <w:kern w:val="0"/>
          <w:sz w:val="28"/>
          <w:szCs w:val="28"/>
        </w:rPr>
        <w:t>--</w:t>
      </w:r>
      <w:r>
        <w:rPr>
          <w:rFonts w:hint="eastAsia" w:cs="宋体" w:asciiTheme="minorEastAsia" w:hAnsiTheme="minorEastAsia"/>
          <w:snapToGrid w:val="0"/>
          <w:color w:val="000000"/>
          <w:spacing w:val="-4"/>
          <w:kern w:val="0"/>
          <w:sz w:val="28"/>
          <w:szCs w:val="28"/>
          <w:lang w:eastAsia="en-US"/>
        </w:rPr>
        <w:t>【</w:t>
      </w:r>
      <w:r>
        <w:rPr>
          <w:rFonts w:hint="eastAsia" w:cs="宋体" w:asciiTheme="minorEastAsia" w:hAnsiTheme="minorEastAsia"/>
          <w:snapToGrid w:val="0"/>
          <w:color w:val="000000"/>
          <w:spacing w:val="-4"/>
          <w:kern w:val="0"/>
          <w:sz w:val="28"/>
          <w:szCs w:val="28"/>
        </w:rPr>
        <w:t>我的基本资料</w:t>
      </w:r>
      <w:r>
        <w:rPr>
          <w:rFonts w:hint="eastAsia" w:cs="宋体" w:asciiTheme="minorEastAsia" w:hAnsiTheme="minorEastAsia"/>
          <w:snapToGrid w:val="0"/>
          <w:color w:val="000000"/>
          <w:spacing w:val="-4"/>
          <w:kern w:val="0"/>
          <w:sz w:val="28"/>
          <w:szCs w:val="28"/>
          <w:lang w:eastAsia="en-US"/>
        </w:rPr>
        <w:t>】或期货开户云软件点击【</w:t>
      </w:r>
      <w:r>
        <w:rPr>
          <w:rFonts w:hint="eastAsia" w:cs="宋体" w:asciiTheme="minorEastAsia" w:hAnsiTheme="minorEastAsia"/>
          <w:snapToGrid w:val="0"/>
          <w:color w:val="000000"/>
          <w:spacing w:val="-4"/>
          <w:kern w:val="0"/>
          <w:sz w:val="28"/>
          <w:szCs w:val="28"/>
        </w:rPr>
        <w:t>我的基本资料</w:t>
      </w:r>
      <w:r>
        <w:rPr>
          <w:rFonts w:hint="eastAsia" w:cs="宋体" w:asciiTheme="minorEastAsia" w:hAnsiTheme="minorEastAsia"/>
          <w:snapToGrid w:val="0"/>
          <w:color w:val="000000"/>
          <w:spacing w:val="-4"/>
          <w:kern w:val="0"/>
          <w:sz w:val="28"/>
          <w:szCs w:val="28"/>
          <w:lang w:eastAsia="en-US"/>
        </w:rPr>
        <w:t>】进行修改。</w:t>
      </w:r>
      <w:bookmarkEnd w:id="136"/>
      <w:bookmarkEnd w:id="137"/>
      <w:bookmarkEnd w:id="138"/>
    </w:p>
    <w:p w14:paraId="54BAC0AA">
      <w:pPr>
        <w:spacing w:line="360" w:lineRule="auto"/>
        <w:outlineLvl w:val="1"/>
        <w:rPr>
          <w:rFonts w:cs="宋体" w:asciiTheme="minorEastAsia" w:hAnsiTheme="minorEastAsia"/>
          <w:snapToGrid w:val="0"/>
          <w:color w:val="000000"/>
          <w:spacing w:val="-4"/>
          <w:kern w:val="0"/>
          <w:sz w:val="24"/>
          <w:szCs w:val="24"/>
        </w:rPr>
      </w:pPr>
      <w:bookmarkStart w:id="139" w:name="_Toc142640284"/>
      <w:bookmarkStart w:id="140" w:name="_Toc20657"/>
      <w:bookmarkStart w:id="141" w:name="_Toc2460"/>
      <w:r>
        <w:rPr>
          <w:rFonts w:hint="eastAsia" w:cs="宋体" w:asciiTheme="minorEastAsia" w:hAnsiTheme="minorEastAsia"/>
          <w:snapToGrid w:val="0"/>
          <w:color w:val="000000"/>
          <w:spacing w:val="-4"/>
          <w:kern w:val="0"/>
          <w:sz w:val="24"/>
          <w:szCs w:val="24"/>
        </w:rPr>
        <w:t>•身份信息【可以修改包含身份证地址和身份证有效期起止日期】</w:t>
      </w:r>
      <w:r>
        <w:rPr>
          <w:rFonts w:hint="eastAsia" w:cs="宋体" w:asciiTheme="minorEastAsia" w:hAnsiTheme="minorEastAsia"/>
          <w:snapToGrid w:val="0"/>
          <w:color w:val="000000"/>
          <w:spacing w:val="-4"/>
          <w:kern w:val="0"/>
          <w:sz w:val="24"/>
          <w:szCs w:val="24"/>
        </w:rPr>
        <w:cr/>
      </w:r>
      <w:r>
        <w:rPr>
          <w:rFonts w:hint="eastAsia" w:cs="宋体" w:asciiTheme="minorEastAsia" w:hAnsiTheme="minorEastAsia"/>
          <w:snapToGrid w:val="0"/>
          <w:color w:val="000000"/>
          <w:spacing w:val="-4"/>
          <w:kern w:val="0"/>
          <w:sz w:val="24"/>
          <w:szCs w:val="24"/>
        </w:rPr>
        <w:t>•联系电话【其中基本信息资料显示的联系电话指的是柜台明细中的联系电话和CRM信息里的电话号码、联系手机指的是柜台明细中的手机号和CRM信息里的手机号码，点击修改后只能修改联系电话不能同时修改联系电话和联系手机】</w:t>
      </w:r>
      <w:r>
        <w:rPr>
          <w:rFonts w:hint="eastAsia" w:cs="宋体" w:asciiTheme="minorEastAsia" w:hAnsiTheme="minorEastAsia"/>
          <w:snapToGrid w:val="0"/>
          <w:color w:val="000000"/>
          <w:spacing w:val="-4"/>
          <w:kern w:val="0"/>
          <w:sz w:val="24"/>
          <w:szCs w:val="24"/>
        </w:rPr>
        <w:cr/>
      </w:r>
      <w:r>
        <w:rPr>
          <w:rFonts w:hint="eastAsia" w:cs="宋体" w:asciiTheme="minorEastAsia" w:hAnsiTheme="minorEastAsia"/>
          <w:snapToGrid w:val="0"/>
          <w:color w:val="000000"/>
          <w:spacing w:val="-4"/>
          <w:kern w:val="0"/>
          <w:sz w:val="24"/>
          <w:szCs w:val="24"/>
        </w:rPr>
        <w:t>•其他信息【可以修改包括联系省市地址、邮编、电子邮箱（非必填）、学历、职业、税收居民身份问题、政要任务关系问题、期望收益问题、实控问题、预计投资品种问题、不良诚信问题】</w:t>
      </w:r>
      <w:bookmarkEnd w:id="139"/>
      <w:bookmarkEnd w:id="140"/>
      <w:bookmarkEnd w:id="141"/>
    </w:p>
    <w:p w14:paraId="32E48C8E">
      <w:pPr>
        <w:pStyle w:val="22"/>
        <w:numPr>
          <w:ilvl w:val="0"/>
          <w:numId w:val="0"/>
        </w:numPr>
        <w:spacing w:line="360" w:lineRule="auto"/>
        <w:ind w:leftChars="0"/>
        <w:outlineLvl w:val="0"/>
        <w:rPr>
          <w:rFonts w:hint="eastAsia" w:cs="宋体" w:asciiTheme="minorEastAsia" w:hAnsiTheme="minorEastAsia"/>
          <w:b/>
          <w:snapToGrid w:val="0"/>
          <w:color w:val="000000"/>
          <w:spacing w:val="-4"/>
          <w:kern w:val="0"/>
          <w:sz w:val="28"/>
          <w:szCs w:val="28"/>
          <w:lang w:val="en-US" w:eastAsia="zh-CN"/>
        </w:rPr>
      </w:pPr>
      <w:bookmarkStart w:id="142" w:name="_Toc13127"/>
      <w:bookmarkStart w:id="143" w:name="_Toc17133"/>
      <w:bookmarkStart w:id="144" w:name="_Toc5464"/>
      <w:bookmarkStart w:id="145" w:name="_Toc142640285"/>
      <w:r>
        <w:rPr>
          <w:rFonts w:hint="eastAsia" w:cs="宋体" w:asciiTheme="minorEastAsia" w:hAnsiTheme="minorEastAsia"/>
          <w:snapToGrid w:val="0"/>
          <w:color w:val="000000"/>
          <w:spacing w:val="-4"/>
          <w:kern w:val="0"/>
          <w:sz w:val="28"/>
          <w:szCs w:val="28"/>
        </w:rPr>
        <w:t>(3)通过线下申请修改：通过填写纸质申请材料，邮寄至我司后</w:t>
      </w:r>
      <w:r>
        <w:rPr>
          <w:rFonts w:hint="eastAsia" w:cs="宋体" w:asciiTheme="minorEastAsia" w:hAnsiTheme="minorEastAsia"/>
          <w:snapToGrid w:val="0"/>
          <w:color w:val="000000"/>
          <w:spacing w:val="-4"/>
          <w:kern w:val="0"/>
          <w:sz w:val="28"/>
          <w:szCs w:val="28"/>
          <w:lang w:eastAsia="en-US"/>
        </w:rPr>
        <w:t>进行修改。</w:t>
      </w:r>
      <w:bookmarkEnd w:id="142"/>
      <w:bookmarkEnd w:id="143"/>
      <w:bookmarkEnd w:id="144"/>
      <w:bookmarkEnd w:id="145"/>
    </w:p>
    <w:p w14:paraId="583FA755">
      <w:pPr>
        <w:pStyle w:val="22"/>
        <w:numPr>
          <w:ilvl w:val="0"/>
          <w:numId w:val="2"/>
        </w:numPr>
        <w:spacing w:line="360" w:lineRule="auto"/>
        <w:ind w:firstLineChars="0"/>
        <w:outlineLvl w:val="0"/>
        <w:rPr>
          <w:rFonts w:hint="eastAsia" w:cs="宋体" w:asciiTheme="minorEastAsia" w:hAnsiTheme="minorEastAsia"/>
          <w:b/>
          <w:snapToGrid w:val="0"/>
          <w:color w:val="000000"/>
          <w:spacing w:val="-4"/>
          <w:kern w:val="0"/>
          <w:sz w:val="28"/>
          <w:szCs w:val="28"/>
          <w:highlight w:val="none"/>
          <w:lang w:val="en-US" w:eastAsia="zh-CN"/>
        </w:rPr>
      </w:pPr>
      <w:bookmarkStart w:id="146" w:name="_Toc25951"/>
      <w:r>
        <w:rPr>
          <w:rFonts w:hint="eastAsia" w:cs="宋体" w:asciiTheme="minorEastAsia" w:hAnsiTheme="minorEastAsia"/>
          <w:b/>
          <w:snapToGrid w:val="0"/>
          <w:color w:val="000000"/>
          <w:spacing w:val="-4"/>
          <w:kern w:val="0"/>
          <w:sz w:val="28"/>
          <w:szCs w:val="28"/>
          <w:highlight w:val="none"/>
        </w:rPr>
        <w:t>资料变更审核需要多长时间</w:t>
      </w:r>
      <w:bookmarkEnd w:id="146"/>
    </w:p>
    <w:p w14:paraId="40E67E89">
      <w:pPr>
        <w:pStyle w:val="22"/>
        <w:numPr>
          <w:ilvl w:val="0"/>
          <w:numId w:val="0"/>
        </w:numPr>
        <w:spacing w:line="360" w:lineRule="auto"/>
        <w:ind w:leftChars="0"/>
        <w:outlineLvl w:val="0"/>
        <w:rPr>
          <w:rFonts w:hint="eastAsia" w:cs="宋体" w:asciiTheme="minorEastAsia" w:hAnsiTheme="minorEastAsia"/>
          <w:b/>
          <w:snapToGrid w:val="0"/>
          <w:color w:val="000000"/>
          <w:spacing w:val="-4"/>
          <w:kern w:val="0"/>
          <w:sz w:val="28"/>
          <w:szCs w:val="28"/>
          <w:lang w:val="en-US" w:eastAsia="zh-CN"/>
        </w:rPr>
      </w:pPr>
      <w:bookmarkStart w:id="147" w:name="_Toc9079"/>
      <w:r>
        <w:rPr>
          <w:rFonts w:hint="eastAsia" w:cs="宋体" w:asciiTheme="minorEastAsia" w:hAnsiTheme="minorEastAsia"/>
          <w:snapToGrid w:val="0"/>
          <w:color w:val="000000"/>
          <w:spacing w:val="-4"/>
          <w:kern w:val="0"/>
          <w:sz w:val="28"/>
          <w:szCs w:val="28"/>
          <w:lang w:eastAsia="en-US"/>
        </w:rPr>
        <w:t>投资者在下午1</w:t>
      </w:r>
      <w:r>
        <w:rPr>
          <w:rFonts w:hint="eastAsia" w:cs="宋体" w:asciiTheme="minorEastAsia" w:hAnsiTheme="minorEastAsia"/>
          <w:snapToGrid w:val="0"/>
          <w:color w:val="000000"/>
          <w:spacing w:val="-4"/>
          <w:kern w:val="0"/>
          <w:sz w:val="28"/>
          <w:szCs w:val="28"/>
        </w:rPr>
        <w:t>4</w:t>
      </w:r>
      <w:r>
        <w:rPr>
          <w:rFonts w:hint="eastAsia" w:cs="宋体" w:asciiTheme="minorEastAsia" w:hAnsiTheme="minorEastAsia"/>
          <w:snapToGrid w:val="0"/>
          <w:color w:val="000000"/>
          <w:spacing w:val="-4"/>
          <w:kern w:val="0"/>
          <w:sz w:val="28"/>
          <w:szCs w:val="28"/>
          <w:lang w:eastAsia="en-US"/>
        </w:rPr>
        <w:t>:</w:t>
      </w:r>
      <w:r>
        <w:rPr>
          <w:rFonts w:hint="eastAsia" w:cs="宋体" w:asciiTheme="minorEastAsia" w:hAnsiTheme="minorEastAsia"/>
          <w:snapToGrid w:val="0"/>
          <w:color w:val="000000"/>
          <w:spacing w:val="-4"/>
          <w:kern w:val="0"/>
          <w:sz w:val="28"/>
          <w:szCs w:val="28"/>
        </w:rPr>
        <w:t>5</w:t>
      </w:r>
      <w:r>
        <w:rPr>
          <w:rFonts w:hint="eastAsia" w:cs="宋体" w:asciiTheme="minorEastAsia" w:hAnsiTheme="minorEastAsia"/>
          <w:snapToGrid w:val="0"/>
          <w:color w:val="000000"/>
          <w:spacing w:val="-4"/>
          <w:kern w:val="0"/>
          <w:sz w:val="28"/>
          <w:szCs w:val="28"/>
          <w:lang w:eastAsia="en-US"/>
        </w:rPr>
        <w:t>0之前提交申请或柜台收到纸质材料，</w:t>
      </w:r>
      <w:r>
        <w:rPr>
          <w:rFonts w:hint="eastAsia" w:cs="宋体" w:asciiTheme="minorEastAsia" w:hAnsiTheme="minorEastAsia"/>
          <w:snapToGrid w:val="0"/>
          <w:color w:val="000000"/>
          <w:spacing w:val="-4"/>
          <w:kern w:val="0"/>
          <w:sz w:val="28"/>
          <w:szCs w:val="28"/>
        </w:rPr>
        <w:t>一般</w:t>
      </w:r>
      <w:r>
        <w:rPr>
          <w:rFonts w:hint="eastAsia" w:cs="宋体" w:asciiTheme="minorEastAsia" w:hAnsiTheme="minorEastAsia"/>
          <w:snapToGrid w:val="0"/>
          <w:color w:val="000000"/>
          <w:spacing w:val="-4"/>
          <w:kern w:val="0"/>
          <w:sz w:val="28"/>
          <w:szCs w:val="28"/>
          <w:lang w:eastAsia="en-US"/>
        </w:rPr>
        <w:t>当天可变更成功，如有其他问题，则以后续联系为准。</w:t>
      </w:r>
      <w:bookmarkEnd w:id="147"/>
    </w:p>
    <w:p w14:paraId="3CCB8D87">
      <w:pPr>
        <w:pStyle w:val="22"/>
        <w:numPr>
          <w:ilvl w:val="0"/>
          <w:numId w:val="2"/>
        </w:numPr>
        <w:spacing w:line="360" w:lineRule="auto"/>
        <w:ind w:firstLineChars="0"/>
        <w:outlineLvl w:val="0"/>
        <w:rPr>
          <w:rFonts w:hint="eastAsia" w:cs="宋体" w:asciiTheme="minorEastAsia" w:hAnsiTheme="minorEastAsia"/>
          <w:b/>
          <w:snapToGrid w:val="0"/>
          <w:color w:val="000000"/>
          <w:spacing w:val="-4"/>
          <w:kern w:val="0"/>
          <w:sz w:val="28"/>
          <w:szCs w:val="28"/>
          <w:lang w:val="en-US" w:eastAsia="zh-CN"/>
        </w:rPr>
      </w:pPr>
      <w:bookmarkStart w:id="148" w:name="_Toc13786"/>
      <w:r>
        <w:rPr>
          <w:rFonts w:hint="eastAsia" w:cs="宋体" w:asciiTheme="minorEastAsia" w:hAnsiTheme="minorEastAsia"/>
          <w:b/>
          <w:snapToGrid w:val="0"/>
          <w:color w:val="000000"/>
          <w:spacing w:val="-4"/>
          <w:kern w:val="0"/>
          <w:sz w:val="28"/>
          <w:szCs w:val="28"/>
          <w:lang w:val="en-US" w:eastAsia="zh-CN"/>
        </w:rPr>
        <w:t>以前开户预留的手机号不再使用了该如何操作</w:t>
      </w:r>
      <w:bookmarkEnd w:id="148"/>
    </w:p>
    <w:p w14:paraId="1E56D880">
      <w:pPr>
        <w:pStyle w:val="22"/>
        <w:numPr>
          <w:ilvl w:val="0"/>
          <w:numId w:val="0"/>
        </w:numPr>
        <w:spacing w:line="360" w:lineRule="auto"/>
        <w:ind w:leftChars="0"/>
        <w:outlineLvl w:val="0"/>
        <w:rPr>
          <w:rFonts w:hint="eastAsia" w:cs="宋体" w:asciiTheme="minorEastAsia" w:hAnsiTheme="minorEastAsia"/>
          <w:snapToGrid w:val="0"/>
          <w:color w:val="000000"/>
          <w:spacing w:val="-4"/>
          <w:kern w:val="0"/>
          <w:sz w:val="28"/>
          <w:szCs w:val="28"/>
          <w:lang w:val="en-US" w:eastAsia="zh-CN"/>
        </w:rPr>
      </w:pPr>
      <w:bookmarkStart w:id="149" w:name="_Toc21276"/>
      <w:r>
        <w:rPr>
          <w:rFonts w:hint="eastAsia" w:cs="宋体" w:asciiTheme="minorEastAsia" w:hAnsiTheme="minorEastAsia"/>
          <w:snapToGrid w:val="0"/>
          <w:color w:val="000000"/>
          <w:spacing w:val="-4"/>
          <w:kern w:val="0"/>
          <w:sz w:val="28"/>
          <w:szCs w:val="28"/>
          <w:lang w:val="en-US" w:eastAsia="zh-CN"/>
        </w:rPr>
        <w:t>如旧手机号码还可以收到验证码则可通过掌厅或者云平台或线下申请修改。（详见本手册第三章第13条）</w:t>
      </w:r>
      <w:bookmarkEnd w:id="149"/>
    </w:p>
    <w:p w14:paraId="1811A2E9">
      <w:pPr>
        <w:pStyle w:val="22"/>
        <w:numPr>
          <w:ilvl w:val="0"/>
          <w:numId w:val="0"/>
        </w:numPr>
        <w:spacing w:line="360" w:lineRule="auto"/>
        <w:ind w:leftChars="0"/>
        <w:outlineLvl w:val="0"/>
        <w:rPr>
          <w:rFonts w:hint="eastAsia" w:cs="宋体" w:asciiTheme="minorEastAsia" w:hAnsiTheme="minorEastAsia"/>
          <w:b/>
          <w:snapToGrid w:val="0"/>
          <w:color w:val="000000"/>
          <w:spacing w:val="-4"/>
          <w:kern w:val="0"/>
          <w:sz w:val="28"/>
          <w:szCs w:val="28"/>
          <w:lang w:val="en-US" w:eastAsia="zh-CN"/>
        </w:rPr>
      </w:pPr>
      <w:bookmarkStart w:id="150" w:name="_Toc3777"/>
      <w:r>
        <w:rPr>
          <w:rFonts w:hint="eastAsia" w:cs="宋体" w:asciiTheme="minorEastAsia" w:hAnsiTheme="minorEastAsia"/>
          <w:snapToGrid w:val="0"/>
          <w:color w:val="000000"/>
          <w:spacing w:val="-4"/>
          <w:kern w:val="0"/>
          <w:sz w:val="28"/>
          <w:szCs w:val="28"/>
          <w:lang w:val="en-US" w:eastAsia="zh-CN"/>
        </w:rPr>
        <w:t>如已注销或停机不再使用，则只能通过线下申请修改。</w:t>
      </w:r>
      <w:bookmarkEnd w:id="150"/>
      <w:r>
        <w:rPr>
          <w:rFonts w:hint="eastAsia" w:cs="宋体" w:asciiTheme="minorEastAsia" w:hAnsiTheme="minorEastAsia"/>
          <w:snapToGrid w:val="0"/>
          <w:color w:val="000000"/>
          <w:spacing w:val="-4"/>
          <w:kern w:val="0"/>
          <w:sz w:val="28"/>
          <w:szCs w:val="28"/>
          <w:lang w:val="en-US" w:eastAsia="zh-CN"/>
        </w:rPr>
        <w:t xml:space="preserve"> </w:t>
      </w:r>
    </w:p>
    <w:p w14:paraId="473F4D50">
      <w:pPr>
        <w:pStyle w:val="22"/>
        <w:numPr>
          <w:ilvl w:val="0"/>
          <w:numId w:val="2"/>
        </w:numPr>
        <w:spacing w:line="360" w:lineRule="auto"/>
        <w:ind w:firstLineChars="0"/>
        <w:outlineLvl w:val="0"/>
        <w:rPr>
          <w:rFonts w:hint="eastAsia" w:cs="宋体" w:asciiTheme="minorEastAsia" w:hAnsiTheme="minorEastAsia"/>
          <w:b/>
          <w:snapToGrid w:val="0"/>
          <w:color w:val="000000"/>
          <w:spacing w:val="-4"/>
          <w:kern w:val="0"/>
          <w:sz w:val="28"/>
          <w:szCs w:val="28"/>
          <w:lang w:val="en-US" w:eastAsia="zh-CN"/>
        </w:rPr>
      </w:pPr>
      <w:bookmarkStart w:id="151" w:name="_Toc12163"/>
      <w:r>
        <w:rPr>
          <w:rFonts w:hint="eastAsia" w:cs="宋体" w:asciiTheme="minorEastAsia" w:hAnsiTheme="minorEastAsia"/>
          <w:b/>
          <w:snapToGrid w:val="0"/>
          <w:color w:val="000000"/>
          <w:spacing w:val="-4"/>
          <w:kern w:val="0"/>
          <w:sz w:val="28"/>
          <w:szCs w:val="28"/>
        </w:rPr>
        <w:t>身份证姓名变更要如何操作</w:t>
      </w:r>
      <w:bookmarkEnd w:id="151"/>
    </w:p>
    <w:p w14:paraId="003DEB5E">
      <w:pPr>
        <w:pStyle w:val="22"/>
        <w:numPr>
          <w:ilvl w:val="0"/>
          <w:numId w:val="0"/>
        </w:numPr>
        <w:spacing w:line="360" w:lineRule="auto"/>
        <w:ind w:leftChars="0"/>
        <w:outlineLvl w:val="0"/>
        <w:rPr>
          <w:rFonts w:hint="eastAsia" w:cs="宋体" w:asciiTheme="minorEastAsia" w:hAnsiTheme="minorEastAsia"/>
          <w:b/>
          <w:snapToGrid w:val="0"/>
          <w:color w:val="000000"/>
          <w:spacing w:val="-4"/>
          <w:kern w:val="0"/>
          <w:sz w:val="28"/>
          <w:szCs w:val="28"/>
          <w:lang w:val="en-US" w:eastAsia="zh-CN"/>
        </w:rPr>
      </w:pPr>
      <w:bookmarkStart w:id="152" w:name="_Toc26718"/>
      <w:r>
        <w:rPr>
          <w:rFonts w:hint="eastAsia" w:cs="宋体" w:asciiTheme="minorEastAsia" w:hAnsiTheme="minorEastAsia"/>
          <w:snapToGrid w:val="0"/>
          <w:color w:val="000000"/>
          <w:spacing w:val="-4"/>
          <w:kern w:val="0"/>
          <w:sz w:val="28"/>
          <w:szCs w:val="28"/>
        </w:rPr>
        <w:t>如客户身份证姓名已作变更，需通过线下流程办理。需提供变更证明材料以及填写客户关键信息变更申请表。</w:t>
      </w:r>
      <w:bookmarkEnd w:id="152"/>
      <w:r>
        <w:rPr>
          <w:rFonts w:hint="eastAsia" w:cs="宋体" w:asciiTheme="minorEastAsia" w:hAnsiTheme="minorEastAsia"/>
          <w:b/>
          <w:snapToGrid w:val="0"/>
          <w:color w:val="000000"/>
          <w:spacing w:val="-4"/>
          <w:kern w:val="0"/>
          <w:sz w:val="28"/>
          <w:szCs w:val="28"/>
          <w:lang w:val="en-US" w:eastAsia="zh-CN"/>
        </w:rPr>
        <w:t xml:space="preserve"> </w:t>
      </w:r>
    </w:p>
    <w:p w14:paraId="4B8B8EAB">
      <w:pPr>
        <w:pStyle w:val="22"/>
        <w:numPr>
          <w:ilvl w:val="0"/>
          <w:numId w:val="2"/>
        </w:numPr>
        <w:spacing w:line="360" w:lineRule="auto"/>
        <w:ind w:firstLineChars="0"/>
        <w:outlineLvl w:val="0"/>
        <w:rPr>
          <w:rFonts w:hint="eastAsia" w:cs="宋体" w:asciiTheme="minorEastAsia" w:hAnsiTheme="minorEastAsia"/>
          <w:b/>
          <w:snapToGrid w:val="0"/>
          <w:color w:val="000000"/>
          <w:spacing w:val="-4"/>
          <w:kern w:val="0"/>
          <w:sz w:val="28"/>
          <w:szCs w:val="28"/>
          <w:lang w:val="en-US" w:eastAsia="zh-CN"/>
        </w:rPr>
      </w:pPr>
      <w:bookmarkStart w:id="153" w:name="_Toc27098"/>
      <w:r>
        <w:rPr>
          <w:rFonts w:hint="eastAsia" w:cs="宋体" w:asciiTheme="minorEastAsia" w:hAnsiTheme="minorEastAsia"/>
          <w:b/>
          <w:snapToGrid w:val="0"/>
          <w:color w:val="000000"/>
          <w:spacing w:val="-4"/>
          <w:kern w:val="0"/>
          <w:sz w:val="28"/>
          <w:szCs w:val="28"/>
          <w:lang w:val="en-US" w:eastAsia="zh-CN"/>
        </w:rPr>
        <w:t>休眠激活的认定标准：</w:t>
      </w:r>
      <w:bookmarkEnd w:id="153"/>
    </w:p>
    <w:p w14:paraId="1871A8B5">
      <w:pPr>
        <w:pStyle w:val="22"/>
        <w:numPr>
          <w:ilvl w:val="0"/>
          <w:numId w:val="0"/>
        </w:numPr>
        <w:spacing w:line="360" w:lineRule="auto"/>
        <w:ind w:leftChars="0"/>
        <w:outlineLvl w:val="0"/>
        <w:rPr>
          <w:rFonts w:hint="eastAsia" w:cs="宋体" w:asciiTheme="minorEastAsia" w:hAnsiTheme="minorEastAsia"/>
          <w:snapToGrid w:val="0"/>
          <w:color w:val="000000"/>
          <w:spacing w:val="-4"/>
          <w:kern w:val="0"/>
          <w:sz w:val="28"/>
          <w:szCs w:val="28"/>
          <w:lang w:val="en-US" w:eastAsia="zh-CN"/>
        </w:rPr>
      </w:pPr>
      <w:bookmarkStart w:id="154" w:name="_Toc10476"/>
      <w:r>
        <w:rPr>
          <w:rFonts w:hint="eastAsia" w:cs="宋体" w:asciiTheme="minorEastAsia" w:hAnsiTheme="minorEastAsia"/>
          <w:snapToGrid w:val="0"/>
          <w:color w:val="000000"/>
          <w:spacing w:val="-4"/>
          <w:kern w:val="0"/>
          <w:sz w:val="28"/>
          <w:szCs w:val="28"/>
          <w:lang w:val="en-US" w:eastAsia="zh-CN"/>
        </w:rPr>
        <w:t>(1)开户时间满一年；</w:t>
      </w:r>
      <w:bookmarkEnd w:id="154"/>
    </w:p>
    <w:p w14:paraId="57014D66">
      <w:pPr>
        <w:pStyle w:val="22"/>
        <w:numPr>
          <w:ilvl w:val="0"/>
          <w:numId w:val="0"/>
        </w:numPr>
        <w:spacing w:line="360" w:lineRule="auto"/>
        <w:ind w:leftChars="0"/>
        <w:outlineLvl w:val="0"/>
        <w:rPr>
          <w:rFonts w:hint="eastAsia" w:cs="宋体" w:asciiTheme="minorEastAsia" w:hAnsiTheme="minorEastAsia"/>
          <w:snapToGrid w:val="0"/>
          <w:color w:val="000000"/>
          <w:spacing w:val="-4"/>
          <w:kern w:val="0"/>
          <w:sz w:val="28"/>
          <w:szCs w:val="28"/>
          <w:lang w:val="en-US" w:eastAsia="zh-CN"/>
        </w:rPr>
      </w:pPr>
      <w:bookmarkStart w:id="155" w:name="_Toc2581"/>
      <w:r>
        <w:rPr>
          <w:rFonts w:hint="eastAsia" w:cs="宋体" w:asciiTheme="minorEastAsia" w:hAnsiTheme="minorEastAsia"/>
          <w:snapToGrid w:val="0"/>
          <w:color w:val="000000"/>
          <w:spacing w:val="-4"/>
          <w:kern w:val="0"/>
          <w:sz w:val="28"/>
          <w:szCs w:val="28"/>
          <w:lang w:val="en-US" w:eastAsia="zh-CN"/>
        </w:rPr>
        <w:t>(2)最近一年（含一年）无持仓、无成交记录；</w:t>
      </w:r>
      <w:bookmarkEnd w:id="155"/>
    </w:p>
    <w:p w14:paraId="4F125587">
      <w:pPr>
        <w:pStyle w:val="22"/>
        <w:numPr>
          <w:ilvl w:val="0"/>
          <w:numId w:val="0"/>
        </w:numPr>
        <w:spacing w:line="360" w:lineRule="auto"/>
        <w:ind w:leftChars="0"/>
        <w:outlineLvl w:val="0"/>
        <w:rPr>
          <w:rFonts w:hint="eastAsia" w:cs="宋体" w:asciiTheme="minorEastAsia" w:hAnsiTheme="minorEastAsia"/>
          <w:snapToGrid w:val="0"/>
          <w:color w:val="000000"/>
          <w:spacing w:val="-4"/>
          <w:kern w:val="0"/>
          <w:sz w:val="28"/>
          <w:szCs w:val="28"/>
          <w:lang w:val="en-US" w:eastAsia="zh-CN"/>
        </w:rPr>
      </w:pPr>
      <w:bookmarkStart w:id="156" w:name="_Toc4267"/>
      <w:r>
        <w:rPr>
          <w:rFonts w:hint="eastAsia" w:cs="宋体" w:asciiTheme="minorEastAsia" w:hAnsiTheme="minorEastAsia"/>
          <w:snapToGrid w:val="0"/>
          <w:color w:val="000000"/>
          <w:spacing w:val="-4"/>
          <w:kern w:val="0"/>
          <w:sz w:val="28"/>
          <w:szCs w:val="28"/>
          <w:lang w:val="en-US" w:eastAsia="zh-CN"/>
        </w:rPr>
        <w:t>(3)认定日结算后账户权益小于等于1000元。（注：休眠账户以期货公司内部资金账户为单位认定，如客户在多家期货公司开户的，各公司各自认定，各交易所仅处理该客户在提出申请期货公司下的交易编码进行休眠处理。）</w:t>
      </w:r>
      <w:bookmarkEnd w:id="156"/>
    </w:p>
    <w:p w14:paraId="7438A1A7">
      <w:pPr>
        <w:pStyle w:val="22"/>
        <w:numPr>
          <w:ilvl w:val="0"/>
          <w:numId w:val="2"/>
        </w:numPr>
        <w:spacing w:line="360" w:lineRule="auto"/>
        <w:ind w:firstLineChars="0"/>
        <w:outlineLvl w:val="0"/>
        <w:rPr>
          <w:rFonts w:hint="eastAsia" w:cs="宋体" w:asciiTheme="minorEastAsia" w:hAnsiTheme="minorEastAsia"/>
          <w:b/>
          <w:snapToGrid w:val="0"/>
          <w:color w:val="000000"/>
          <w:spacing w:val="-4"/>
          <w:kern w:val="0"/>
          <w:sz w:val="28"/>
          <w:szCs w:val="28"/>
          <w:lang w:val="en-US" w:eastAsia="zh-CN"/>
        </w:rPr>
      </w:pPr>
      <w:bookmarkStart w:id="157" w:name="_Toc12070"/>
      <w:r>
        <w:rPr>
          <w:rFonts w:hint="eastAsia" w:cs="宋体" w:asciiTheme="minorEastAsia" w:hAnsiTheme="minorEastAsia"/>
          <w:b/>
          <w:snapToGrid w:val="0"/>
          <w:color w:val="000000"/>
          <w:spacing w:val="-4"/>
          <w:kern w:val="0"/>
          <w:sz w:val="28"/>
          <w:szCs w:val="28"/>
        </w:rPr>
        <w:t>我的账户休眠了如何激活</w:t>
      </w:r>
      <w:bookmarkEnd w:id="157"/>
    </w:p>
    <w:p w14:paraId="2DFE4727">
      <w:pPr>
        <w:pStyle w:val="22"/>
        <w:numPr>
          <w:ilvl w:val="0"/>
          <w:numId w:val="0"/>
        </w:numPr>
        <w:spacing w:line="360" w:lineRule="auto"/>
        <w:ind w:leftChars="0"/>
        <w:outlineLvl w:val="0"/>
        <w:rPr>
          <w:rFonts w:hint="eastAsia" w:cs="宋体" w:asciiTheme="minorEastAsia" w:hAnsiTheme="minorEastAsia"/>
          <w:b/>
          <w:snapToGrid w:val="0"/>
          <w:color w:val="000000"/>
          <w:spacing w:val="-4"/>
          <w:kern w:val="0"/>
          <w:sz w:val="28"/>
          <w:szCs w:val="28"/>
          <w:lang w:val="en-US" w:eastAsia="zh-CN"/>
        </w:rPr>
      </w:pPr>
      <w:bookmarkStart w:id="158" w:name="_Toc27569"/>
      <w:r>
        <w:rPr>
          <w:rFonts w:hint="eastAsia" w:cs="宋体" w:asciiTheme="minorEastAsia" w:hAnsiTheme="minorEastAsia"/>
          <w:snapToGrid w:val="0"/>
          <w:color w:val="000000"/>
          <w:spacing w:val="-4"/>
          <w:kern w:val="0"/>
          <w:sz w:val="28"/>
          <w:szCs w:val="28"/>
        </w:rPr>
        <w:t>如果客户账户已完成适当性评估，可通过通惠</w:t>
      </w:r>
      <w:r>
        <w:rPr>
          <w:rFonts w:hint="eastAsia" w:cs="宋体" w:asciiTheme="minorEastAsia" w:hAnsiTheme="minorEastAsia"/>
          <w:snapToGrid w:val="0"/>
          <w:color w:val="000000"/>
          <w:spacing w:val="-4"/>
          <w:kern w:val="0"/>
          <w:sz w:val="28"/>
          <w:szCs w:val="28"/>
          <w:lang w:eastAsia="en-US"/>
        </w:rPr>
        <w:t>期货手机软件点击</w:t>
      </w:r>
      <w:r>
        <w:rPr>
          <w:rFonts w:hint="eastAsia" w:cs="宋体" w:asciiTheme="minorEastAsia" w:hAnsiTheme="minorEastAsia"/>
          <w:snapToGrid w:val="0"/>
          <w:color w:val="000000"/>
          <w:spacing w:val="-4"/>
          <w:kern w:val="0"/>
          <w:sz w:val="28"/>
          <w:szCs w:val="28"/>
        </w:rPr>
        <w:t>【首页】--【掌上营业厅】--【休眠账户激活】，按照流程提示提交申请，同时客户需入金大于1000元（账户权益大于1000元）。我司收到申请后，审核材料、资金无误，将在1-2个交易日内为客户申请激活期货账户。</w:t>
      </w:r>
      <w:r>
        <w:rPr>
          <w:rFonts w:hint="eastAsia" w:cs="宋体" w:asciiTheme="minorEastAsia" w:hAnsiTheme="minorEastAsia"/>
          <w:snapToGrid w:val="0"/>
          <w:color w:val="000000"/>
          <w:spacing w:val="-4"/>
          <w:kern w:val="0"/>
          <w:sz w:val="28"/>
          <w:szCs w:val="28"/>
        </w:rPr>
        <w:cr/>
      </w:r>
      <w:r>
        <w:rPr>
          <w:rFonts w:hint="eastAsia" w:cs="宋体" w:asciiTheme="minorEastAsia" w:hAnsiTheme="minorEastAsia"/>
          <w:snapToGrid w:val="0"/>
          <w:color w:val="000000"/>
          <w:spacing w:val="-4"/>
          <w:kern w:val="0"/>
          <w:sz w:val="28"/>
          <w:szCs w:val="28"/>
        </w:rPr>
        <w:t>如客户未完成适当性评估，可携带好有效身份证原件点击通惠</w:t>
      </w:r>
      <w:r>
        <w:rPr>
          <w:rFonts w:hint="eastAsia" w:cs="宋体" w:asciiTheme="minorEastAsia" w:hAnsiTheme="minorEastAsia"/>
          <w:snapToGrid w:val="0"/>
          <w:color w:val="000000"/>
          <w:spacing w:val="-4"/>
          <w:kern w:val="0"/>
          <w:sz w:val="28"/>
          <w:szCs w:val="28"/>
          <w:lang w:eastAsia="en-US"/>
        </w:rPr>
        <w:t>期货手机软件【</w:t>
      </w:r>
      <w:r>
        <w:rPr>
          <w:rFonts w:hint="eastAsia" w:cs="宋体" w:asciiTheme="minorEastAsia" w:hAnsiTheme="minorEastAsia"/>
          <w:snapToGrid w:val="0"/>
          <w:color w:val="000000"/>
          <w:spacing w:val="-4"/>
          <w:kern w:val="0"/>
          <w:sz w:val="28"/>
          <w:szCs w:val="28"/>
        </w:rPr>
        <w:t>首页</w:t>
      </w:r>
      <w:r>
        <w:rPr>
          <w:rFonts w:hint="eastAsia" w:cs="宋体" w:asciiTheme="minorEastAsia" w:hAnsiTheme="minorEastAsia"/>
          <w:snapToGrid w:val="0"/>
          <w:color w:val="000000"/>
          <w:spacing w:val="-4"/>
          <w:kern w:val="0"/>
          <w:sz w:val="28"/>
          <w:szCs w:val="28"/>
          <w:lang w:eastAsia="en-US"/>
        </w:rPr>
        <w:t>】--【</w:t>
      </w:r>
      <w:r>
        <w:rPr>
          <w:rFonts w:hint="eastAsia" w:cs="宋体" w:asciiTheme="minorEastAsia" w:hAnsiTheme="minorEastAsia"/>
          <w:snapToGrid w:val="0"/>
          <w:color w:val="000000"/>
          <w:spacing w:val="-4"/>
          <w:kern w:val="0"/>
          <w:sz w:val="28"/>
          <w:szCs w:val="28"/>
        </w:rPr>
        <w:t>网上开户</w:t>
      </w:r>
      <w:r>
        <w:rPr>
          <w:rFonts w:hint="eastAsia" w:cs="宋体" w:asciiTheme="minorEastAsia" w:hAnsiTheme="minorEastAsia"/>
          <w:snapToGrid w:val="0"/>
          <w:color w:val="000000"/>
          <w:spacing w:val="-4"/>
          <w:kern w:val="0"/>
          <w:sz w:val="28"/>
          <w:szCs w:val="28"/>
          <w:lang w:eastAsia="en-US"/>
        </w:rPr>
        <w:t>】--【</w:t>
      </w:r>
      <w:r>
        <w:rPr>
          <w:rFonts w:hint="eastAsia" w:cs="宋体" w:asciiTheme="minorEastAsia" w:hAnsiTheme="minorEastAsia"/>
          <w:snapToGrid w:val="0"/>
          <w:color w:val="000000"/>
          <w:spacing w:val="-4"/>
          <w:kern w:val="0"/>
          <w:sz w:val="28"/>
          <w:szCs w:val="28"/>
        </w:rPr>
        <w:t>适当性评估</w:t>
      </w:r>
      <w:r>
        <w:rPr>
          <w:rFonts w:hint="eastAsia" w:cs="宋体" w:asciiTheme="minorEastAsia" w:hAnsiTheme="minorEastAsia"/>
          <w:snapToGrid w:val="0"/>
          <w:color w:val="000000"/>
          <w:spacing w:val="-4"/>
          <w:kern w:val="0"/>
          <w:sz w:val="28"/>
          <w:szCs w:val="28"/>
          <w:lang w:eastAsia="en-US"/>
        </w:rPr>
        <w:t>】或点击期货开户云软件</w:t>
      </w:r>
      <w:r>
        <w:rPr>
          <w:rFonts w:hint="eastAsia" w:cs="宋体" w:asciiTheme="minorEastAsia" w:hAnsiTheme="minorEastAsia"/>
          <w:snapToGrid w:val="0"/>
          <w:color w:val="000000"/>
          <w:spacing w:val="-4"/>
          <w:kern w:val="0"/>
          <w:sz w:val="28"/>
          <w:szCs w:val="28"/>
        </w:rPr>
        <w:t>【适当性评估】，按照流程提示完成适当性评估流程。我司复核通过客户提交的适当性评估流程后，客户再通过通惠</w:t>
      </w:r>
      <w:r>
        <w:rPr>
          <w:rFonts w:hint="eastAsia" w:cs="宋体" w:asciiTheme="minorEastAsia" w:hAnsiTheme="minorEastAsia"/>
          <w:snapToGrid w:val="0"/>
          <w:color w:val="000000"/>
          <w:spacing w:val="-4"/>
          <w:kern w:val="0"/>
          <w:sz w:val="28"/>
          <w:szCs w:val="28"/>
          <w:lang w:eastAsia="en-US"/>
        </w:rPr>
        <w:t>期货手机软件点击</w:t>
      </w:r>
      <w:r>
        <w:rPr>
          <w:rFonts w:hint="eastAsia" w:cs="宋体" w:asciiTheme="minorEastAsia" w:hAnsiTheme="minorEastAsia"/>
          <w:snapToGrid w:val="0"/>
          <w:color w:val="000000"/>
          <w:spacing w:val="-4"/>
          <w:kern w:val="0"/>
          <w:sz w:val="28"/>
          <w:szCs w:val="28"/>
        </w:rPr>
        <w:t>【首页】--【掌上营业厅】--【休眠账户激活】，按照流程提示提交申请，同时客户需入金大于1000元（账户权益大于1000元）。我司收到申请后，审核材料、资金无误，将在1-2个交易日内为客户申请激活期货账户。</w:t>
      </w:r>
      <w:r>
        <w:rPr>
          <w:rFonts w:hint="eastAsia" w:cs="宋体" w:asciiTheme="minorEastAsia" w:hAnsiTheme="minorEastAsia"/>
          <w:snapToGrid w:val="0"/>
          <w:color w:val="000000"/>
          <w:spacing w:val="-4"/>
          <w:kern w:val="0"/>
          <w:sz w:val="28"/>
          <w:szCs w:val="28"/>
        </w:rPr>
        <w:cr/>
      </w:r>
      <w:r>
        <w:rPr>
          <w:rFonts w:hint="eastAsia" w:cs="宋体" w:asciiTheme="minorEastAsia" w:hAnsiTheme="minorEastAsia"/>
          <w:snapToGrid w:val="0"/>
          <w:color w:val="000000"/>
          <w:spacing w:val="-4"/>
          <w:kern w:val="0"/>
          <w:sz w:val="28"/>
          <w:szCs w:val="28"/>
        </w:rPr>
        <w:t>*如客户于当日下午14：30前入金成功，则当日提交激活申请，激</w:t>
      </w:r>
      <w:r>
        <w:rPr>
          <w:rFonts w:hint="eastAsia" w:cs="宋体" w:asciiTheme="minorEastAsia" w:hAnsiTheme="minorEastAsia"/>
          <w:snapToGrid w:val="0"/>
          <w:color w:val="000000"/>
          <w:spacing w:val="-4"/>
          <w:kern w:val="0"/>
          <w:sz w:val="28"/>
          <w:szCs w:val="28"/>
        </w:rPr>
        <w:cr/>
      </w:r>
      <w:r>
        <w:rPr>
          <w:rFonts w:hint="eastAsia" w:cs="宋体" w:asciiTheme="minorEastAsia" w:hAnsiTheme="minorEastAsia"/>
          <w:snapToGrid w:val="0"/>
          <w:color w:val="000000"/>
          <w:spacing w:val="-4"/>
          <w:kern w:val="0"/>
          <w:sz w:val="28"/>
          <w:szCs w:val="28"/>
        </w:rPr>
        <w:t>活成功后于当日发送激活成功短信，下一交易日账户可正常使用（注：每月最后一个交易日不向交易所报送休眠激活客户名单）</w:t>
      </w:r>
      <w:bookmarkEnd w:id="158"/>
      <w:r>
        <w:rPr>
          <w:rFonts w:hint="eastAsia" w:cs="宋体" w:asciiTheme="minorEastAsia" w:hAnsiTheme="minorEastAsia"/>
          <w:b/>
          <w:snapToGrid w:val="0"/>
          <w:color w:val="000000"/>
          <w:spacing w:val="-4"/>
          <w:kern w:val="0"/>
          <w:sz w:val="28"/>
          <w:szCs w:val="28"/>
          <w:lang w:val="en-US" w:eastAsia="zh-CN"/>
        </w:rPr>
        <w:t xml:space="preserve"> </w:t>
      </w:r>
    </w:p>
    <w:p w14:paraId="695AC4D9">
      <w:pPr>
        <w:pStyle w:val="22"/>
        <w:numPr>
          <w:ilvl w:val="0"/>
          <w:numId w:val="2"/>
        </w:numPr>
        <w:spacing w:line="360" w:lineRule="auto"/>
        <w:ind w:firstLineChars="0"/>
        <w:outlineLvl w:val="0"/>
        <w:rPr>
          <w:rFonts w:hint="eastAsia" w:cs="宋体" w:asciiTheme="minorEastAsia" w:hAnsiTheme="minorEastAsia"/>
          <w:b/>
          <w:snapToGrid w:val="0"/>
          <w:color w:val="000000"/>
          <w:spacing w:val="-4"/>
          <w:kern w:val="0"/>
          <w:sz w:val="28"/>
          <w:szCs w:val="28"/>
          <w:highlight w:val="yellow"/>
          <w:lang w:val="en-US" w:eastAsia="zh-CN"/>
        </w:rPr>
      </w:pPr>
      <w:bookmarkStart w:id="159" w:name="_Toc8715"/>
      <w:r>
        <w:rPr>
          <w:rFonts w:hint="eastAsia" w:cs="宋体" w:asciiTheme="minorEastAsia" w:hAnsiTheme="minorEastAsia"/>
          <w:b/>
          <w:snapToGrid w:val="0"/>
          <w:color w:val="000000"/>
          <w:spacing w:val="-4"/>
          <w:kern w:val="0"/>
          <w:sz w:val="28"/>
          <w:szCs w:val="28"/>
          <w:highlight w:val="yellow"/>
        </w:rPr>
        <w:t>休眠账户资料提交审核需要多久</w:t>
      </w:r>
      <w:bookmarkEnd w:id="159"/>
      <w:bookmarkStart w:id="386" w:name="_GoBack"/>
      <w:bookmarkEnd w:id="386"/>
    </w:p>
    <w:p w14:paraId="13316AAE">
      <w:pPr>
        <w:pStyle w:val="22"/>
        <w:numPr>
          <w:ilvl w:val="0"/>
          <w:numId w:val="0"/>
        </w:numPr>
        <w:spacing w:line="360" w:lineRule="auto"/>
        <w:ind w:leftChars="0"/>
        <w:outlineLvl w:val="0"/>
        <w:rPr>
          <w:rFonts w:hint="eastAsia" w:cs="宋体" w:asciiTheme="minorEastAsia" w:hAnsiTheme="minorEastAsia"/>
          <w:b/>
          <w:snapToGrid w:val="0"/>
          <w:color w:val="000000"/>
          <w:spacing w:val="-4"/>
          <w:kern w:val="0"/>
          <w:sz w:val="28"/>
          <w:szCs w:val="28"/>
          <w:lang w:val="en-US" w:eastAsia="zh-CN"/>
        </w:rPr>
      </w:pPr>
      <w:bookmarkStart w:id="160" w:name="_Toc24381"/>
      <w:r>
        <w:rPr>
          <w:rFonts w:hint="eastAsia" w:cs="宋体" w:asciiTheme="minorEastAsia" w:hAnsiTheme="minorEastAsia"/>
          <w:snapToGrid w:val="0"/>
          <w:color w:val="000000"/>
          <w:spacing w:val="-4"/>
          <w:kern w:val="0"/>
          <w:sz w:val="28"/>
          <w:szCs w:val="28"/>
        </w:rPr>
        <w:t>我司收到休眠账户客户提交的资料申请会在1-2个交易日内审核并报送交易所。</w:t>
      </w:r>
      <w:bookmarkEnd w:id="160"/>
    </w:p>
    <w:p w14:paraId="72CD0907">
      <w:pPr>
        <w:pStyle w:val="22"/>
        <w:numPr>
          <w:ilvl w:val="0"/>
          <w:numId w:val="2"/>
        </w:numPr>
        <w:spacing w:line="360" w:lineRule="auto"/>
        <w:ind w:firstLineChars="0"/>
        <w:outlineLvl w:val="0"/>
        <w:rPr>
          <w:rFonts w:hint="eastAsia" w:cs="宋体" w:asciiTheme="minorEastAsia" w:hAnsiTheme="minorEastAsia"/>
          <w:b/>
          <w:snapToGrid w:val="0"/>
          <w:color w:val="000000"/>
          <w:spacing w:val="-4"/>
          <w:kern w:val="0"/>
          <w:sz w:val="28"/>
          <w:szCs w:val="28"/>
          <w:lang w:val="en-US" w:eastAsia="zh-CN"/>
        </w:rPr>
      </w:pPr>
      <w:bookmarkStart w:id="161" w:name="_Toc23132"/>
      <w:r>
        <w:rPr>
          <w:rFonts w:hint="eastAsia" w:cs="宋体" w:asciiTheme="minorEastAsia" w:hAnsiTheme="minorEastAsia"/>
          <w:b/>
          <w:snapToGrid w:val="0"/>
          <w:color w:val="000000"/>
          <w:spacing w:val="-4"/>
          <w:kern w:val="0"/>
          <w:sz w:val="28"/>
          <w:szCs w:val="28"/>
        </w:rPr>
        <w:t>没有适当性在哪里评估</w:t>
      </w:r>
      <w:bookmarkEnd w:id="161"/>
    </w:p>
    <w:p w14:paraId="2022ADE5">
      <w:pPr>
        <w:pStyle w:val="22"/>
        <w:numPr>
          <w:ilvl w:val="0"/>
          <w:numId w:val="0"/>
        </w:numPr>
        <w:spacing w:line="360" w:lineRule="auto"/>
        <w:ind w:leftChars="0"/>
        <w:outlineLvl w:val="0"/>
        <w:rPr>
          <w:rFonts w:hint="eastAsia" w:cs="宋体" w:asciiTheme="minorEastAsia" w:hAnsiTheme="minorEastAsia"/>
          <w:b/>
          <w:snapToGrid w:val="0"/>
          <w:color w:val="000000"/>
          <w:spacing w:val="-4"/>
          <w:kern w:val="0"/>
          <w:sz w:val="28"/>
          <w:szCs w:val="28"/>
          <w:lang w:val="en-US" w:eastAsia="zh-CN"/>
        </w:rPr>
      </w:pPr>
      <w:bookmarkStart w:id="162" w:name="_Toc5772"/>
      <w:r>
        <w:rPr>
          <w:rFonts w:hint="eastAsia" w:cs="宋体" w:asciiTheme="minorEastAsia" w:hAnsiTheme="minorEastAsia"/>
          <w:snapToGrid w:val="0"/>
          <w:color w:val="000000"/>
          <w:spacing w:val="-4"/>
          <w:kern w:val="0"/>
          <w:sz w:val="28"/>
          <w:szCs w:val="28"/>
        </w:rPr>
        <w:t>对于2017年7月1日之前开户无适当等级的客户，可通过通惠期货手机软件点击【首页】--【网上开户】--【适当性评估】，按照流程提示进行操作。</w:t>
      </w:r>
      <w:bookmarkEnd w:id="162"/>
    </w:p>
    <w:p w14:paraId="462FF1F0">
      <w:pPr>
        <w:pStyle w:val="22"/>
        <w:numPr>
          <w:ilvl w:val="0"/>
          <w:numId w:val="2"/>
        </w:numPr>
        <w:spacing w:line="360" w:lineRule="auto"/>
        <w:ind w:firstLineChars="0"/>
        <w:outlineLvl w:val="0"/>
        <w:rPr>
          <w:rFonts w:hint="eastAsia" w:cs="宋体" w:asciiTheme="minorEastAsia" w:hAnsiTheme="minorEastAsia"/>
          <w:b/>
          <w:snapToGrid w:val="0"/>
          <w:color w:val="000000"/>
          <w:spacing w:val="-4"/>
          <w:kern w:val="0"/>
          <w:sz w:val="28"/>
          <w:szCs w:val="28"/>
          <w:lang w:val="en-US" w:eastAsia="zh-CN"/>
        </w:rPr>
      </w:pPr>
      <w:bookmarkStart w:id="163" w:name="_Toc18496"/>
      <w:r>
        <w:rPr>
          <w:rFonts w:hint="eastAsia" w:cs="宋体" w:asciiTheme="minorEastAsia" w:hAnsiTheme="minorEastAsia"/>
          <w:b/>
          <w:snapToGrid w:val="0"/>
          <w:color w:val="000000"/>
          <w:spacing w:val="-4"/>
          <w:kern w:val="0"/>
          <w:sz w:val="28"/>
          <w:szCs w:val="28"/>
          <w:lang w:val="en-US" w:eastAsia="zh-CN"/>
        </w:rPr>
        <w:t>银期签约定义</w:t>
      </w:r>
      <w:bookmarkEnd w:id="163"/>
    </w:p>
    <w:p w14:paraId="4730733C">
      <w:pPr>
        <w:pStyle w:val="22"/>
        <w:numPr>
          <w:ilvl w:val="0"/>
          <w:numId w:val="0"/>
        </w:numPr>
        <w:spacing w:line="360" w:lineRule="auto"/>
        <w:ind w:leftChars="0"/>
        <w:outlineLvl w:val="0"/>
        <w:rPr>
          <w:rFonts w:hint="eastAsia" w:cs="宋体" w:asciiTheme="minorEastAsia" w:hAnsiTheme="minorEastAsia"/>
          <w:snapToGrid w:val="0"/>
          <w:color w:val="000000"/>
          <w:spacing w:val="-4"/>
          <w:kern w:val="0"/>
          <w:sz w:val="28"/>
          <w:szCs w:val="28"/>
          <w:lang w:val="en-US" w:eastAsia="zh-CN"/>
        </w:rPr>
      </w:pPr>
      <w:bookmarkStart w:id="164" w:name="_Toc29579"/>
      <w:r>
        <w:rPr>
          <w:rFonts w:hint="eastAsia" w:cs="宋体" w:asciiTheme="minorEastAsia" w:hAnsiTheme="minorEastAsia"/>
          <w:snapToGrid w:val="0"/>
          <w:color w:val="000000"/>
          <w:spacing w:val="-4"/>
          <w:kern w:val="0"/>
          <w:sz w:val="28"/>
          <w:szCs w:val="28"/>
          <w:lang w:val="en-US" w:eastAsia="zh-CN"/>
        </w:rPr>
        <w:t>银期签约是指银行和期货公司在双方系统联网的基础上，为期货</w:t>
      </w:r>
      <w:bookmarkEnd w:id="164"/>
    </w:p>
    <w:p w14:paraId="19811A88">
      <w:pPr>
        <w:pStyle w:val="22"/>
        <w:numPr>
          <w:ilvl w:val="0"/>
          <w:numId w:val="0"/>
        </w:numPr>
        <w:spacing w:line="360" w:lineRule="auto"/>
        <w:ind w:leftChars="0"/>
        <w:outlineLvl w:val="0"/>
        <w:rPr>
          <w:rFonts w:hint="eastAsia" w:cs="宋体" w:asciiTheme="minorEastAsia" w:hAnsiTheme="minorEastAsia"/>
          <w:snapToGrid w:val="0"/>
          <w:color w:val="000000"/>
          <w:spacing w:val="-4"/>
          <w:kern w:val="0"/>
          <w:sz w:val="28"/>
          <w:szCs w:val="28"/>
          <w:lang w:val="en-US" w:eastAsia="zh-CN"/>
        </w:rPr>
      </w:pPr>
      <w:bookmarkStart w:id="165" w:name="_Toc5861"/>
      <w:r>
        <w:rPr>
          <w:rFonts w:hint="eastAsia" w:cs="宋体" w:asciiTheme="minorEastAsia" w:hAnsiTheme="minorEastAsia"/>
          <w:snapToGrid w:val="0"/>
          <w:color w:val="000000"/>
          <w:spacing w:val="-4"/>
          <w:kern w:val="0"/>
          <w:sz w:val="28"/>
          <w:szCs w:val="28"/>
          <w:lang w:val="en-US" w:eastAsia="zh-CN"/>
        </w:rPr>
        <w:t>投资者提供的自助式的资金转账服务，实现资金在本人银行结算账户</w:t>
      </w:r>
      <w:bookmarkEnd w:id="165"/>
    </w:p>
    <w:p w14:paraId="3047003E">
      <w:pPr>
        <w:pStyle w:val="22"/>
        <w:numPr>
          <w:ilvl w:val="0"/>
          <w:numId w:val="0"/>
        </w:numPr>
        <w:spacing w:line="360" w:lineRule="auto"/>
        <w:ind w:leftChars="0"/>
        <w:outlineLvl w:val="0"/>
        <w:rPr>
          <w:rFonts w:hint="eastAsia" w:cs="宋体" w:asciiTheme="minorEastAsia" w:hAnsiTheme="minorEastAsia"/>
          <w:snapToGrid w:val="0"/>
          <w:color w:val="000000"/>
          <w:spacing w:val="-4"/>
          <w:kern w:val="0"/>
          <w:sz w:val="28"/>
          <w:szCs w:val="28"/>
          <w:lang w:val="en-US" w:eastAsia="zh-CN"/>
        </w:rPr>
      </w:pPr>
      <w:bookmarkStart w:id="166" w:name="_Toc18902"/>
      <w:r>
        <w:rPr>
          <w:rFonts w:hint="eastAsia" w:cs="宋体" w:asciiTheme="minorEastAsia" w:hAnsiTheme="minorEastAsia"/>
          <w:snapToGrid w:val="0"/>
          <w:color w:val="000000"/>
          <w:spacing w:val="-4"/>
          <w:kern w:val="0"/>
          <w:sz w:val="28"/>
          <w:szCs w:val="28"/>
          <w:lang w:val="en-US" w:eastAsia="zh-CN"/>
        </w:rPr>
        <w:t>与期货保证金账户之间定向实时划转。银行、期货公司分别通过各自</w:t>
      </w:r>
      <w:bookmarkEnd w:id="166"/>
    </w:p>
    <w:p w14:paraId="49A1DCF6">
      <w:pPr>
        <w:pStyle w:val="22"/>
        <w:numPr>
          <w:ilvl w:val="0"/>
          <w:numId w:val="0"/>
        </w:numPr>
        <w:spacing w:line="360" w:lineRule="auto"/>
        <w:ind w:leftChars="0"/>
        <w:outlineLvl w:val="0"/>
        <w:rPr>
          <w:rFonts w:hint="eastAsia" w:cs="宋体" w:asciiTheme="minorEastAsia" w:hAnsiTheme="minorEastAsia"/>
          <w:snapToGrid w:val="0"/>
          <w:color w:val="000000"/>
          <w:spacing w:val="-4"/>
          <w:kern w:val="0"/>
          <w:sz w:val="28"/>
          <w:szCs w:val="28"/>
          <w:lang w:val="en-US" w:eastAsia="zh-CN"/>
        </w:rPr>
      </w:pPr>
      <w:bookmarkStart w:id="167" w:name="_Toc29688"/>
      <w:r>
        <w:rPr>
          <w:rFonts w:hint="eastAsia" w:cs="宋体" w:asciiTheme="minorEastAsia" w:hAnsiTheme="minorEastAsia"/>
          <w:snapToGrid w:val="0"/>
          <w:color w:val="000000"/>
          <w:spacing w:val="-4"/>
          <w:kern w:val="0"/>
          <w:sz w:val="28"/>
          <w:szCs w:val="28"/>
          <w:lang w:val="en-US" w:eastAsia="zh-CN"/>
        </w:rPr>
        <w:t>渠道为客户提供查询服务。</w:t>
      </w:r>
      <w:bookmarkEnd w:id="167"/>
      <w:r>
        <w:rPr>
          <w:rFonts w:hint="eastAsia" w:cs="宋体" w:asciiTheme="minorEastAsia" w:hAnsiTheme="minorEastAsia"/>
          <w:snapToGrid w:val="0"/>
          <w:color w:val="000000"/>
          <w:spacing w:val="-4"/>
          <w:kern w:val="0"/>
          <w:sz w:val="28"/>
          <w:szCs w:val="28"/>
          <w:lang w:val="en-US" w:eastAsia="zh-CN"/>
        </w:rPr>
        <w:t xml:space="preserve"> </w:t>
      </w:r>
    </w:p>
    <w:p w14:paraId="5A7CAA3F">
      <w:pPr>
        <w:pStyle w:val="22"/>
        <w:numPr>
          <w:ilvl w:val="0"/>
          <w:numId w:val="2"/>
        </w:numPr>
        <w:spacing w:line="360" w:lineRule="auto"/>
        <w:ind w:firstLineChars="0"/>
        <w:outlineLvl w:val="0"/>
        <w:rPr>
          <w:rFonts w:hint="eastAsia" w:cs="宋体" w:asciiTheme="minorEastAsia" w:hAnsiTheme="minorEastAsia"/>
          <w:b/>
          <w:snapToGrid w:val="0"/>
          <w:color w:val="000000"/>
          <w:spacing w:val="-4"/>
          <w:kern w:val="0"/>
          <w:sz w:val="28"/>
          <w:szCs w:val="28"/>
          <w:lang w:val="en-US" w:eastAsia="zh-CN"/>
        </w:rPr>
      </w:pPr>
      <w:bookmarkStart w:id="168" w:name="_Toc7903"/>
      <w:r>
        <w:rPr>
          <w:rFonts w:hint="eastAsia" w:cs="宋体" w:asciiTheme="minorEastAsia" w:hAnsiTheme="minorEastAsia"/>
          <w:b/>
          <w:snapToGrid w:val="0"/>
          <w:color w:val="000000"/>
          <w:spacing w:val="-4"/>
          <w:kern w:val="0"/>
          <w:sz w:val="28"/>
          <w:szCs w:val="28"/>
          <w:lang w:val="en-US" w:eastAsia="zh-CN"/>
        </w:rPr>
        <w:t>银期签约提示系统其他错误、签约失败、第三方返回码XXX、预留银行卡不一致、无可用认证方式、以及各种无明确提示的错误代码是什么原因造成的</w:t>
      </w:r>
      <w:bookmarkEnd w:id="168"/>
    </w:p>
    <w:p w14:paraId="5E449EF9">
      <w:pPr>
        <w:pStyle w:val="22"/>
        <w:numPr>
          <w:ilvl w:val="0"/>
          <w:numId w:val="0"/>
        </w:numPr>
        <w:spacing w:line="360" w:lineRule="auto"/>
        <w:ind w:leftChars="0"/>
        <w:outlineLvl w:val="0"/>
        <w:rPr>
          <w:rFonts w:hint="eastAsia" w:cs="宋体" w:asciiTheme="minorEastAsia" w:hAnsiTheme="minorEastAsia"/>
          <w:snapToGrid w:val="0"/>
          <w:color w:val="000000"/>
          <w:spacing w:val="-4"/>
          <w:kern w:val="0"/>
          <w:sz w:val="28"/>
          <w:szCs w:val="28"/>
          <w:lang w:val="en-US" w:eastAsia="zh-CN"/>
        </w:rPr>
      </w:pPr>
      <w:bookmarkStart w:id="169" w:name="_Toc2997"/>
      <w:r>
        <w:rPr>
          <w:rFonts w:hint="eastAsia" w:cs="宋体" w:asciiTheme="minorEastAsia" w:hAnsiTheme="minorEastAsia"/>
          <w:snapToGrid w:val="0"/>
          <w:color w:val="000000"/>
          <w:spacing w:val="-4"/>
          <w:kern w:val="0"/>
          <w:sz w:val="28"/>
          <w:szCs w:val="28"/>
          <w:lang w:val="en-US" w:eastAsia="zh-CN"/>
        </w:rPr>
        <w:t>通常签约提示各种错误原因有以下几种：</w:t>
      </w:r>
      <w:bookmarkEnd w:id="169"/>
    </w:p>
    <w:p w14:paraId="2CE55550">
      <w:pPr>
        <w:pStyle w:val="22"/>
        <w:numPr>
          <w:ilvl w:val="0"/>
          <w:numId w:val="0"/>
        </w:numPr>
        <w:spacing w:line="360" w:lineRule="auto"/>
        <w:ind w:leftChars="0"/>
        <w:outlineLvl w:val="0"/>
        <w:rPr>
          <w:rFonts w:hint="eastAsia" w:cs="宋体" w:asciiTheme="minorEastAsia" w:hAnsiTheme="minorEastAsia"/>
          <w:snapToGrid w:val="0"/>
          <w:color w:val="000000"/>
          <w:spacing w:val="-4"/>
          <w:kern w:val="0"/>
          <w:sz w:val="28"/>
          <w:szCs w:val="28"/>
          <w:lang w:val="en-US" w:eastAsia="zh-CN"/>
        </w:rPr>
      </w:pPr>
      <w:bookmarkStart w:id="170" w:name="_Toc60"/>
      <w:r>
        <w:rPr>
          <w:rFonts w:hint="eastAsia" w:cs="宋体" w:asciiTheme="minorEastAsia" w:hAnsiTheme="minorEastAsia"/>
          <w:snapToGrid w:val="0"/>
          <w:color w:val="000000"/>
          <w:spacing w:val="-4"/>
          <w:kern w:val="0"/>
          <w:sz w:val="28"/>
          <w:szCs w:val="28"/>
          <w:lang w:val="en-US" w:eastAsia="zh-CN"/>
        </w:rPr>
        <w:t>1.未通过银行柜台开通过网上银行或手机银行业务。</w:t>
      </w:r>
      <w:bookmarkEnd w:id="170"/>
    </w:p>
    <w:p w14:paraId="5DE41A3C">
      <w:pPr>
        <w:pStyle w:val="22"/>
        <w:numPr>
          <w:ilvl w:val="0"/>
          <w:numId w:val="0"/>
        </w:numPr>
        <w:spacing w:line="360" w:lineRule="auto"/>
        <w:ind w:leftChars="0"/>
        <w:outlineLvl w:val="0"/>
        <w:rPr>
          <w:rFonts w:hint="eastAsia" w:cs="宋体" w:asciiTheme="minorEastAsia" w:hAnsiTheme="minorEastAsia"/>
          <w:snapToGrid w:val="0"/>
          <w:color w:val="000000"/>
          <w:spacing w:val="-4"/>
          <w:kern w:val="0"/>
          <w:sz w:val="28"/>
          <w:szCs w:val="28"/>
          <w:lang w:val="en-US" w:eastAsia="zh-CN"/>
        </w:rPr>
      </w:pPr>
      <w:bookmarkStart w:id="171" w:name="_Toc9854"/>
      <w:r>
        <w:rPr>
          <w:rFonts w:hint="eastAsia" w:cs="宋体" w:asciiTheme="minorEastAsia" w:hAnsiTheme="minorEastAsia"/>
          <w:snapToGrid w:val="0"/>
          <w:color w:val="000000"/>
          <w:spacing w:val="-4"/>
          <w:kern w:val="0"/>
          <w:sz w:val="28"/>
          <w:szCs w:val="28"/>
          <w:lang w:val="en-US" w:eastAsia="zh-CN"/>
        </w:rPr>
        <w:t>2.办理银期签约业务选择银行卡和期货开户时预留银行卡不一致。</w:t>
      </w:r>
      <w:bookmarkEnd w:id="171"/>
    </w:p>
    <w:p w14:paraId="0055085D">
      <w:pPr>
        <w:pStyle w:val="22"/>
        <w:numPr>
          <w:ilvl w:val="0"/>
          <w:numId w:val="0"/>
        </w:numPr>
        <w:spacing w:line="360" w:lineRule="auto"/>
        <w:ind w:leftChars="0"/>
        <w:outlineLvl w:val="0"/>
        <w:rPr>
          <w:rFonts w:hint="eastAsia" w:cs="宋体" w:asciiTheme="minorEastAsia" w:hAnsiTheme="minorEastAsia"/>
          <w:snapToGrid w:val="0"/>
          <w:color w:val="000000"/>
          <w:spacing w:val="-4"/>
          <w:kern w:val="0"/>
          <w:sz w:val="28"/>
          <w:szCs w:val="28"/>
          <w:lang w:val="en-US" w:eastAsia="zh-CN"/>
        </w:rPr>
      </w:pPr>
      <w:bookmarkStart w:id="172" w:name="_Toc18790"/>
      <w:r>
        <w:rPr>
          <w:rFonts w:hint="eastAsia" w:cs="宋体" w:asciiTheme="minorEastAsia" w:hAnsiTheme="minorEastAsia"/>
          <w:snapToGrid w:val="0"/>
          <w:color w:val="000000"/>
          <w:spacing w:val="-4"/>
          <w:kern w:val="0"/>
          <w:sz w:val="28"/>
          <w:szCs w:val="28"/>
          <w:lang w:val="en-US" w:eastAsia="zh-CN"/>
        </w:rPr>
        <w:t>3.填写个人期货账户信息有误（保证金账号、资金密码、交易密码等）</w:t>
      </w:r>
      <w:bookmarkEnd w:id="172"/>
    </w:p>
    <w:p w14:paraId="5881A1D0">
      <w:pPr>
        <w:pStyle w:val="22"/>
        <w:numPr>
          <w:ilvl w:val="0"/>
          <w:numId w:val="0"/>
        </w:numPr>
        <w:spacing w:line="360" w:lineRule="auto"/>
        <w:ind w:leftChars="0"/>
        <w:outlineLvl w:val="0"/>
        <w:rPr>
          <w:rFonts w:hint="eastAsia" w:cs="宋体" w:asciiTheme="minorEastAsia" w:hAnsiTheme="minorEastAsia"/>
          <w:snapToGrid w:val="0"/>
          <w:color w:val="000000"/>
          <w:spacing w:val="-4"/>
          <w:kern w:val="0"/>
          <w:sz w:val="28"/>
          <w:szCs w:val="28"/>
          <w:lang w:val="en-US" w:eastAsia="zh-CN"/>
        </w:rPr>
      </w:pPr>
      <w:bookmarkStart w:id="173" w:name="_Toc31768"/>
      <w:r>
        <w:rPr>
          <w:rFonts w:hint="eastAsia" w:cs="宋体" w:asciiTheme="minorEastAsia" w:hAnsiTheme="minorEastAsia"/>
          <w:snapToGrid w:val="0"/>
          <w:color w:val="000000"/>
          <w:spacing w:val="-4"/>
          <w:kern w:val="0"/>
          <w:sz w:val="28"/>
          <w:szCs w:val="28"/>
          <w:lang w:val="en-US" w:eastAsia="zh-CN"/>
        </w:rPr>
        <w:t>故出现此类问题可指导客户重新填写银期签约所需内容。</w:t>
      </w:r>
      <w:bookmarkEnd w:id="173"/>
    </w:p>
    <w:p w14:paraId="0B55369D">
      <w:pPr>
        <w:pStyle w:val="22"/>
        <w:numPr>
          <w:ilvl w:val="0"/>
          <w:numId w:val="2"/>
        </w:numPr>
        <w:spacing w:line="360" w:lineRule="auto"/>
        <w:ind w:firstLineChars="0"/>
        <w:outlineLvl w:val="0"/>
        <w:rPr>
          <w:rFonts w:hint="eastAsia" w:cs="宋体" w:asciiTheme="minorEastAsia" w:hAnsiTheme="minorEastAsia"/>
          <w:b/>
          <w:snapToGrid w:val="0"/>
          <w:color w:val="000000"/>
          <w:spacing w:val="-4"/>
          <w:kern w:val="0"/>
          <w:sz w:val="28"/>
          <w:szCs w:val="28"/>
          <w:lang w:val="en-US" w:eastAsia="zh-CN"/>
        </w:rPr>
      </w:pPr>
      <w:bookmarkStart w:id="174" w:name="_Toc15472"/>
      <w:r>
        <w:rPr>
          <w:rFonts w:hint="eastAsia" w:cs="宋体" w:asciiTheme="minorEastAsia" w:hAnsiTheme="minorEastAsia"/>
          <w:b/>
          <w:snapToGrid w:val="0"/>
          <w:color w:val="000000"/>
          <w:spacing w:val="-4"/>
          <w:kern w:val="0"/>
          <w:sz w:val="28"/>
          <w:szCs w:val="28"/>
          <w:lang w:val="en-US" w:eastAsia="zh-CN"/>
        </w:rPr>
        <w:t>银期签约办理时间</w:t>
      </w:r>
      <w:bookmarkEnd w:id="174"/>
    </w:p>
    <w:p w14:paraId="7930F149">
      <w:pPr>
        <w:pStyle w:val="22"/>
        <w:numPr>
          <w:ilvl w:val="0"/>
          <w:numId w:val="0"/>
        </w:numPr>
        <w:spacing w:line="360" w:lineRule="auto"/>
        <w:ind w:leftChars="0"/>
        <w:outlineLvl w:val="0"/>
        <w:rPr>
          <w:rFonts w:hint="eastAsia" w:cs="宋体" w:asciiTheme="minorEastAsia" w:hAnsiTheme="minorEastAsia"/>
          <w:snapToGrid w:val="0"/>
          <w:color w:val="000000"/>
          <w:spacing w:val="-4"/>
          <w:kern w:val="0"/>
          <w:sz w:val="28"/>
          <w:szCs w:val="28"/>
          <w:lang w:val="en-US" w:eastAsia="zh-CN"/>
        </w:rPr>
      </w:pPr>
      <w:bookmarkStart w:id="175" w:name="_Toc12811"/>
      <w:r>
        <w:rPr>
          <w:rFonts w:hint="eastAsia" w:cs="宋体" w:asciiTheme="minorEastAsia" w:hAnsiTheme="minorEastAsia"/>
          <w:snapToGrid w:val="0"/>
          <w:color w:val="000000"/>
          <w:spacing w:val="-4"/>
          <w:kern w:val="0"/>
          <w:sz w:val="28"/>
          <w:szCs w:val="28"/>
          <w:lang w:val="en-US" w:eastAsia="zh-CN"/>
        </w:rPr>
        <w:t>交易日8:30—15:30，20:30—次日02:30（工商银行和建设银行不支持夜盘签约）</w:t>
      </w:r>
      <w:bookmarkEnd w:id="175"/>
    </w:p>
    <w:p w14:paraId="73D80FFB">
      <w:pPr>
        <w:pStyle w:val="22"/>
        <w:numPr>
          <w:ilvl w:val="0"/>
          <w:numId w:val="2"/>
        </w:numPr>
        <w:spacing w:line="360" w:lineRule="auto"/>
        <w:ind w:firstLineChars="0"/>
        <w:outlineLvl w:val="0"/>
        <w:rPr>
          <w:rFonts w:hint="eastAsia" w:cs="宋体" w:asciiTheme="minorEastAsia" w:hAnsiTheme="minorEastAsia"/>
          <w:b/>
          <w:snapToGrid w:val="0"/>
          <w:color w:val="000000"/>
          <w:spacing w:val="-4"/>
          <w:kern w:val="0"/>
          <w:sz w:val="28"/>
          <w:szCs w:val="28"/>
          <w:lang w:val="en-US" w:eastAsia="zh-CN"/>
        </w:rPr>
      </w:pPr>
      <w:bookmarkStart w:id="176" w:name="_Toc11651"/>
      <w:r>
        <w:rPr>
          <w:rFonts w:hint="eastAsia" w:cs="宋体" w:asciiTheme="minorEastAsia" w:hAnsiTheme="minorEastAsia"/>
          <w:b/>
          <w:snapToGrid w:val="0"/>
          <w:color w:val="000000"/>
          <w:spacing w:val="-4"/>
          <w:kern w:val="0"/>
          <w:sz w:val="28"/>
          <w:szCs w:val="28"/>
          <w:lang w:val="en-US" w:eastAsia="zh-CN"/>
        </w:rPr>
        <w:t>银期签约显示期货公司已签退或第三方未签到是什么原因</w:t>
      </w:r>
      <w:bookmarkEnd w:id="176"/>
    </w:p>
    <w:p w14:paraId="2127BDD0">
      <w:pPr>
        <w:pStyle w:val="22"/>
        <w:numPr>
          <w:ilvl w:val="0"/>
          <w:numId w:val="0"/>
        </w:numPr>
        <w:spacing w:line="360" w:lineRule="auto"/>
        <w:ind w:leftChars="0"/>
        <w:outlineLvl w:val="0"/>
        <w:rPr>
          <w:rFonts w:hint="eastAsia" w:cs="宋体" w:asciiTheme="minorEastAsia" w:hAnsiTheme="minorEastAsia"/>
          <w:snapToGrid w:val="0"/>
          <w:color w:val="000000"/>
          <w:spacing w:val="-4"/>
          <w:kern w:val="0"/>
          <w:sz w:val="28"/>
          <w:szCs w:val="28"/>
          <w:lang w:val="en-US" w:eastAsia="zh-CN"/>
        </w:rPr>
      </w:pPr>
      <w:bookmarkStart w:id="177" w:name="_Toc26031"/>
      <w:r>
        <w:rPr>
          <w:rFonts w:hint="eastAsia" w:cs="宋体" w:asciiTheme="minorEastAsia" w:hAnsiTheme="minorEastAsia"/>
          <w:snapToGrid w:val="0"/>
          <w:color w:val="000000"/>
          <w:spacing w:val="-4"/>
          <w:kern w:val="0"/>
          <w:sz w:val="28"/>
          <w:szCs w:val="28"/>
          <w:lang w:val="en-US" w:eastAsia="zh-CN"/>
        </w:rPr>
        <w:t>未在规定时间内进行银期签约业务办理。</w:t>
      </w:r>
      <w:bookmarkEnd w:id="177"/>
    </w:p>
    <w:p w14:paraId="2982CD1A">
      <w:pPr>
        <w:pStyle w:val="22"/>
        <w:numPr>
          <w:ilvl w:val="0"/>
          <w:numId w:val="2"/>
        </w:numPr>
        <w:spacing w:line="360" w:lineRule="auto"/>
        <w:ind w:firstLineChars="0"/>
        <w:outlineLvl w:val="0"/>
        <w:rPr>
          <w:rFonts w:cs="宋体" w:asciiTheme="minorEastAsia" w:hAnsiTheme="minorEastAsia"/>
          <w:b/>
          <w:snapToGrid w:val="0"/>
          <w:color w:val="000000"/>
          <w:spacing w:val="-4"/>
          <w:kern w:val="0"/>
          <w:sz w:val="28"/>
          <w:szCs w:val="28"/>
        </w:rPr>
      </w:pPr>
      <w:bookmarkStart w:id="178" w:name="_Toc16158"/>
      <w:r>
        <w:rPr>
          <w:rFonts w:hint="eastAsia" w:cs="宋体" w:asciiTheme="minorEastAsia" w:hAnsiTheme="minorEastAsia"/>
          <w:b/>
          <w:snapToGrid w:val="0"/>
          <w:color w:val="000000"/>
          <w:spacing w:val="-4"/>
          <w:kern w:val="0"/>
          <w:sz w:val="28"/>
          <w:szCs w:val="28"/>
        </w:rPr>
        <w:t>同行跨省跨地区可办理银期签约业务吗</w:t>
      </w:r>
      <w:bookmarkEnd w:id="178"/>
    </w:p>
    <w:p w14:paraId="51E60801">
      <w:pPr>
        <w:spacing w:line="360" w:lineRule="auto"/>
        <w:rPr>
          <w:rFonts w:cs="宋体" w:asciiTheme="minorEastAsia" w:hAnsiTheme="minorEastAsia"/>
          <w:snapToGrid w:val="0"/>
          <w:color w:val="000000"/>
          <w:spacing w:val="-4"/>
          <w:kern w:val="0"/>
          <w:sz w:val="28"/>
          <w:szCs w:val="28"/>
        </w:rPr>
      </w:pPr>
      <w:r>
        <w:rPr>
          <w:rFonts w:hint="eastAsia" w:cs="宋体" w:asciiTheme="minorEastAsia" w:hAnsiTheme="minorEastAsia"/>
          <w:snapToGrid w:val="0"/>
          <w:color w:val="000000"/>
          <w:spacing w:val="-4"/>
          <w:kern w:val="0"/>
          <w:sz w:val="28"/>
          <w:szCs w:val="28"/>
        </w:rPr>
        <w:t>可以，同行非开户行也可以办理银期签约业务。</w:t>
      </w:r>
    </w:p>
    <w:p w14:paraId="19E0421B">
      <w:pPr>
        <w:pStyle w:val="22"/>
        <w:numPr>
          <w:ilvl w:val="0"/>
          <w:numId w:val="2"/>
        </w:numPr>
        <w:spacing w:line="360" w:lineRule="auto"/>
        <w:ind w:firstLineChars="0"/>
        <w:outlineLvl w:val="0"/>
        <w:rPr>
          <w:rFonts w:hint="eastAsia" w:cs="宋体" w:asciiTheme="minorEastAsia" w:hAnsiTheme="minorEastAsia"/>
          <w:b/>
          <w:snapToGrid w:val="0"/>
          <w:color w:val="000000"/>
          <w:spacing w:val="-4"/>
          <w:kern w:val="0"/>
          <w:sz w:val="28"/>
          <w:szCs w:val="28"/>
          <w:lang w:val="en-US" w:eastAsia="zh-CN"/>
        </w:rPr>
      </w:pPr>
      <w:bookmarkStart w:id="179" w:name="_Toc26602"/>
      <w:r>
        <w:rPr>
          <w:rFonts w:hint="eastAsia" w:cs="宋体" w:asciiTheme="minorEastAsia" w:hAnsiTheme="minorEastAsia"/>
          <w:b/>
          <w:snapToGrid w:val="0"/>
          <w:color w:val="000000"/>
          <w:spacing w:val="-4"/>
          <w:kern w:val="0"/>
          <w:sz w:val="28"/>
          <w:szCs w:val="28"/>
        </w:rPr>
        <w:t>二类卡、信用卡可以进行银期签约吗</w:t>
      </w:r>
      <w:bookmarkEnd w:id="179"/>
    </w:p>
    <w:p w14:paraId="55B5DDAF">
      <w:pPr>
        <w:spacing w:line="360" w:lineRule="auto"/>
        <w:outlineLvl w:val="0"/>
        <w:rPr>
          <w:rFonts w:hint="eastAsia" w:cs="宋体" w:asciiTheme="minorEastAsia" w:hAnsiTheme="minorEastAsia"/>
          <w:b/>
          <w:snapToGrid w:val="0"/>
          <w:color w:val="000000"/>
          <w:spacing w:val="-4"/>
          <w:kern w:val="0"/>
          <w:sz w:val="28"/>
          <w:szCs w:val="28"/>
          <w:lang w:val="en-US" w:eastAsia="zh-CN"/>
        </w:rPr>
      </w:pPr>
      <w:bookmarkStart w:id="180" w:name="_Toc23913"/>
      <w:r>
        <w:rPr>
          <w:rFonts w:hint="eastAsia" w:cs="宋体" w:asciiTheme="minorEastAsia" w:hAnsiTheme="minorEastAsia"/>
          <w:snapToGrid w:val="0"/>
          <w:color w:val="000000"/>
          <w:spacing w:val="-4"/>
          <w:kern w:val="0"/>
          <w:sz w:val="28"/>
          <w:szCs w:val="28"/>
        </w:rPr>
        <w:t>信用卡不支持银期签约业务办理。部分银行二类卡支持银期签约业务（具体功能需咨询银行端）。</w:t>
      </w:r>
      <w:bookmarkEnd w:id="180"/>
    </w:p>
    <w:p w14:paraId="1685FE5D">
      <w:pPr>
        <w:pStyle w:val="22"/>
        <w:numPr>
          <w:ilvl w:val="0"/>
          <w:numId w:val="2"/>
        </w:numPr>
        <w:spacing w:line="360" w:lineRule="auto"/>
        <w:ind w:firstLineChars="0"/>
        <w:outlineLvl w:val="0"/>
        <w:rPr>
          <w:rFonts w:hint="eastAsia" w:cs="宋体" w:asciiTheme="minorEastAsia" w:hAnsiTheme="minorEastAsia"/>
          <w:b/>
          <w:snapToGrid w:val="0"/>
          <w:color w:val="000000"/>
          <w:spacing w:val="-4"/>
          <w:kern w:val="0"/>
          <w:sz w:val="28"/>
          <w:szCs w:val="28"/>
          <w:lang w:val="en-US" w:eastAsia="zh-CN"/>
        </w:rPr>
      </w:pPr>
      <w:bookmarkStart w:id="181" w:name="_Toc16309"/>
      <w:r>
        <w:rPr>
          <w:rFonts w:hint="eastAsia" w:cs="宋体" w:asciiTheme="minorEastAsia" w:hAnsiTheme="minorEastAsia"/>
          <w:b/>
          <w:snapToGrid w:val="0"/>
          <w:color w:val="000000"/>
          <w:spacing w:val="-4"/>
          <w:kern w:val="0"/>
          <w:sz w:val="28"/>
          <w:szCs w:val="28"/>
        </w:rPr>
        <w:t>可以签约其他非预留银行卡吗</w:t>
      </w:r>
      <w:bookmarkEnd w:id="181"/>
    </w:p>
    <w:p w14:paraId="5B908845">
      <w:pPr>
        <w:spacing w:line="360" w:lineRule="auto"/>
        <w:rPr>
          <w:rFonts w:cs="宋体" w:asciiTheme="minorEastAsia" w:hAnsiTheme="minorEastAsia"/>
          <w:snapToGrid w:val="0"/>
          <w:color w:val="000000"/>
          <w:spacing w:val="-4"/>
          <w:kern w:val="0"/>
          <w:sz w:val="28"/>
          <w:szCs w:val="28"/>
        </w:rPr>
      </w:pPr>
      <w:r>
        <w:rPr>
          <w:rFonts w:hint="eastAsia" w:cs="宋体" w:asciiTheme="minorEastAsia" w:hAnsiTheme="minorEastAsia"/>
          <w:snapToGrid w:val="0"/>
          <w:color w:val="000000"/>
          <w:spacing w:val="-4"/>
          <w:kern w:val="0"/>
          <w:sz w:val="28"/>
          <w:szCs w:val="28"/>
        </w:rPr>
        <w:t>不可以。如需签约其他非预留银行卡，需先办理银行卡变更业务。</w:t>
      </w:r>
    </w:p>
    <w:p w14:paraId="1E7A8A17">
      <w:pPr>
        <w:pStyle w:val="22"/>
        <w:numPr>
          <w:ilvl w:val="0"/>
          <w:numId w:val="2"/>
        </w:numPr>
        <w:spacing w:line="360" w:lineRule="auto"/>
        <w:ind w:firstLineChars="0"/>
        <w:outlineLvl w:val="0"/>
        <w:rPr>
          <w:rFonts w:hint="eastAsia" w:cs="宋体" w:asciiTheme="minorEastAsia" w:hAnsiTheme="minorEastAsia"/>
          <w:b/>
          <w:snapToGrid w:val="0"/>
          <w:color w:val="000000"/>
          <w:spacing w:val="-4"/>
          <w:kern w:val="0"/>
          <w:sz w:val="28"/>
          <w:szCs w:val="28"/>
          <w:lang w:val="en-US" w:eastAsia="zh-CN"/>
        </w:rPr>
      </w:pPr>
      <w:bookmarkStart w:id="182" w:name="_Toc22818"/>
      <w:r>
        <w:rPr>
          <w:rFonts w:hint="eastAsia" w:cs="宋体" w:asciiTheme="minorEastAsia" w:hAnsiTheme="minorEastAsia"/>
          <w:b/>
          <w:snapToGrid w:val="0"/>
          <w:color w:val="000000"/>
          <w:spacing w:val="-4"/>
          <w:kern w:val="0"/>
          <w:sz w:val="28"/>
          <w:szCs w:val="28"/>
        </w:rPr>
        <w:t>工商银行银期签约时营销代码如何填写</w:t>
      </w:r>
      <w:bookmarkEnd w:id="182"/>
    </w:p>
    <w:p w14:paraId="03D80BE4">
      <w:pPr>
        <w:spacing w:line="360" w:lineRule="auto"/>
        <w:rPr>
          <w:rFonts w:cs="宋体" w:asciiTheme="minorEastAsia" w:hAnsiTheme="minorEastAsia"/>
          <w:snapToGrid w:val="0"/>
          <w:color w:val="000000"/>
          <w:spacing w:val="-4"/>
          <w:kern w:val="0"/>
          <w:sz w:val="28"/>
          <w:szCs w:val="28"/>
        </w:rPr>
      </w:pPr>
      <w:r>
        <w:rPr>
          <w:rFonts w:hint="eastAsia" w:cs="宋体" w:asciiTheme="minorEastAsia" w:hAnsiTheme="minorEastAsia"/>
          <w:snapToGrid w:val="0"/>
          <w:color w:val="000000"/>
          <w:spacing w:val="-4"/>
          <w:kern w:val="0"/>
          <w:sz w:val="28"/>
          <w:szCs w:val="28"/>
        </w:rPr>
        <w:t>营销代码可以不用填写。</w:t>
      </w:r>
    </w:p>
    <w:p w14:paraId="7277736A">
      <w:pPr>
        <w:pStyle w:val="22"/>
        <w:numPr>
          <w:ilvl w:val="0"/>
          <w:numId w:val="2"/>
        </w:numPr>
        <w:spacing w:line="360" w:lineRule="auto"/>
        <w:ind w:firstLineChars="0"/>
        <w:outlineLvl w:val="0"/>
        <w:rPr>
          <w:rFonts w:hint="eastAsia" w:cs="宋体" w:asciiTheme="minorEastAsia" w:hAnsiTheme="minorEastAsia"/>
          <w:b/>
          <w:snapToGrid w:val="0"/>
          <w:color w:val="000000"/>
          <w:spacing w:val="-4"/>
          <w:kern w:val="0"/>
          <w:sz w:val="28"/>
          <w:szCs w:val="28"/>
          <w:lang w:val="en-US" w:eastAsia="zh-CN"/>
        </w:rPr>
      </w:pPr>
      <w:bookmarkStart w:id="183" w:name="_Toc29146"/>
      <w:r>
        <w:rPr>
          <w:rFonts w:hint="eastAsia" w:cs="宋体" w:asciiTheme="minorEastAsia" w:hAnsiTheme="minorEastAsia"/>
          <w:b/>
          <w:snapToGrid w:val="0"/>
          <w:color w:val="000000"/>
          <w:spacing w:val="-4"/>
          <w:kern w:val="0"/>
          <w:sz w:val="28"/>
          <w:szCs w:val="28"/>
        </w:rPr>
        <w:t>银行卡签约过证券账户还可以使用吗</w:t>
      </w:r>
      <w:bookmarkEnd w:id="183"/>
    </w:p>
    <w:p w14:paraId="56EDCB8D">
      <w:pPr>
        <w:pStyle w:val="22"/>
        <w:numPr>
          <w:ilvl w:val="0"/>
          <w:numId w:val="0"/>
        </w:numPr>
        <w:spacing w:line="360" w:lineRule="auto"/>
        <w:ind w:leftChars="0"/>
        <w:outlineLvl w:val="0"/>
        <w:rPr>
          <w:rFonts w:hint="eastAsia" w:cs="宋体" w:asciiTheme="minorEastAsia" w:hAnsiTheme="minorEastAsia"/>
          <w:b/>
          <w:snapToGrid w:val="0"/>
          <w:color w:val="000000"/>
          <w:spacing w:val="-4"/>
          <w:kern w:val="0"/>
          <w:sz w:val="28"/>
          <w:szCs w:val="28"/>
          <w:lang w:val="en-US" w:eastAsia="zh-CN"/>
        </w:rPr>
      </w:pPr>
      <w:bookmarkStart w:id="184" w:name="_Toc18153"/>
      <w:r>
        <w:rPr>
          <w:rFonts w:hint="eastAsia" w:cs="宋体" w:asciiTheme="minorEastAsia" w:hAnsiTheme="minorEastAsia"/>
          <w:snapToGrid w:val="0"/>
          <w:color w:val="000000"/>
          <w:spacing w:val="-4"/>
          <w:kern w:val="0"/>
          <w:sz w:val="28"/>
          <w:szCs w:val="28"/>
        </w:rPr>
        <w:t>可以。</w:t>
      </w:r>
      <w:bookmarkEnd w:id="184"/>
    </w:p>
    <w:p w14:paraId="280F08F8">
      <w:pPr>
        <w:pStyle w:val="22"/>
        <w:numPr>
          <w:ilvl w:val="0"/>
          <w:numId w:val="2"/>
        </w:numPr>
        <w:spacing w:line="360" w:lineRule="auto"/>
        <w:ind w:firstLineChars="0"/>
        <w:outlineLvl w:val="0"/>
        <w:rPr>
          <w:rFonts w:hint="eastAsia" w:cs="宋体" w:asciiTheme="minorEastAsia" w:hAnsiTheme="minorEastAsia"/>
          <w:b/>
          <w:snapToGrid w:val="0"/>
          <w:color w:val="000000"/>
          <w:spacing w:val="-4"/>
          <w:kern w:val="0"/>
          <w:sz w:val="28"/>
          <w:szCs w:val="28"/>
          <w:lang w:val="en-US" w:eastAsia="zh-CN"/>
        </w:rPr>
      </w:pPr>
      <w:bookmarkStart w:id="185" w:name="_Toc16263"/>
      <w:r>
        <w:rPr>
          <w:rFonts w:hint="eastAsia" w:cs="宋体" w:asciiTheme="minorEastAsia" w:hAnsiTheme="minorEastAsia"/>
          <w:b/>
          <w:snapToGrid w:val="0"/>
          <w:color w:val="000000"/>
          <w:spacing w:val="-4"/>
          <w:kern w:val="0"/>
          <w:sz w:val="28"/>
          <w:szCs w:val="28"/>
        </w:rPr>
        <w:t>银行柜台签约需要提供协议吗</w:t>
      </w:r>
      <w:bookmarkEnd w:id="185"/>
      <w:r>
        <w:rPr>
          <w:rFonts w:hint="eastAsia" w:cs="宋体" w:asciiTheme="minorEastAsia" w:hAnsiTheme="minorEastAsia"/>
          <w:b/>
          <w:snapToGrid w:val="0"/>
          <w:color w:val="000000"/>
          <w:spacing w:val="-4"/>
          <w:kern w:val="0"/>
          <w:sz w:val="28"/>
          <w:szCs w:val="28"/>
          <w:lang w:val="en-US" w:eastAsia="zh-CN"/>
        </w:rPr>
        <w:t xml:space="preserve"> </w:t>
      </w:r>
    </w:p>
    <w:p w14:paraId="16AC6481">
      <w:pPr>
        <w:spacing w:line="360" w:lineRule="auto"/>
        <w:rPr>
          <w:rFonts w:hint="eastAsia" w:cs="宋体" w:asciiTheme="minorEastAsia" w:hAnsiTheme="minorEastAsia"/>
          <w:b/>
          <w:snapToGrid w:val="0"/>
          <w:color w:val="000000"/>
          <w:spacing w:val="-4"/>
          <w:kern w:val="0"/>
          <w:sz w:val="28"/>
          <w:szCs w:val="28"/>
          <w:lang w:val="en-US" w:eastAsia="zh-CN"/>
        </w:rPr>
      </w:pPr>
      <w:r>
        <w:rPr>
          <w:rFonts w:hint="eastAsia" w:cs="宋体" w:asciiTheme="minorEastAsia" w:hAnsiTheme="minorEastAsia"/>
          <w:snapToGrid w:val="0"/>
          <w:color w:val="000000"/>
          <w:spacing w:val="-4"/>
          <w:kern w:val="0"/>
          <w:sz w:val="28"/>
          <w:szCs w:val="28"/>
        </w:rPr>
        <w:t>银期签约无三方协议。如客户临柜办理银期签约，携带本人有效二代身份证原件及银行卡即可。</w:t>
      </w:r>
    </w:p>
    <w:p w14:paraId="5E711320">
      <w:pPr>
        <w:pStyle w:val="22"/>
        <w:numPr>
          <w:ilvl w:val="0"/>
          <w:numId w:val="2"/>
        </w:numPr>
        <w:spacing w:line="360" w:lineRule="auto"/>
        <w:ind w:firstLineChars="0"/>
        <w:outlineLvl w:val="0"/>
        <w:rPr>
          <w:rFonts w:hint="eastAsia" w:cs="宋体" w:asciiTheme="minorEastAsia" w:hAnsiTheme="minorEastAsia"/>
          <w:b/>
          <w:snapToGrid w:val="0"/>
          <w:color w:val="000000"/>
          <w:spacing w:val="-4"/>
          <w:kern w:val="0"/>
          <w:sz w:val="28"/>
          <w:szCs w:val="28"/>
          <w:lang w:val="en-US" w:eastAsia="zh-CN"/>
        </w:rPr>
      </w:pPr>
      <w:bookmarkStart w:id="186" w:name="_Toc11768"/>
      <w:r>
        <w:rPr>
          <w:rFonts w:hint="eastAsia" w:cs="宋体" w:asciiTheme="minorEastAsia" w:hAnsiTheme="minorEastAsia"/>
          <w:b/>
          <w:snapToGrid w:val="0"/>
          <w:color w:val="000000"/>
          <w:spacing w:val="-4"/>
          <w:kern w:val="0"/>
          <w:sz w:val="28"/>
          <w:szCs w:val="28"/>
        </w:rPr>
        <w:t>银期签约时，密码器、K宝是什么</w:t>
      </w:r>
      <w:bookmarkEnd w:id="186"/>
    </w:p>
    <w:p w14:paraId="38376A4E">
      <w:pPr>
        <w:spacing w:line="360" w:lineRule="auto"/>
        <w:rPr>
          <w:rFonts w:cs="宋体" w:asciiTheme="minorEastAsia" w:hAnsiTheme="minorEastAsia"/>
          <w:snapToGrid w:val="0"/>
          <w:color w:val="000000"/>
          <w:spacing w:val="-4"/>
          <w:kern w:val="0"/>
          <w:sz w:val="28"/>
          <w:szCs w:val="28"/>
        </w:rPr>
      </w:pPr>
      <w:r>
        <w:rPr>
          <w:rFonts w:hint="eastAsia" w:cs="宋体" w:asciiTheme="minorEastAsia" w:hAnsiTheme="minorEastAsia"/>
          <w:snapToGrid w:val="0"/>
          <w:color w:val="000000"/>
          <w:spacing w:val="-4"/>
          <w:kern w:val="0"/>
          <w:sz w:val="28"/>
          <w:szCs w:val="28"/>
        </w:rPr>
        <w:t>U盾、密码器、K宝等为客户办理网上（手机）银行业务时的电子验证设备，在部分银行通过网上（手机）银行办理银期签约时需</w:t>
      </w:r>
    </w:p>
    <w:p w14:paraId="55E840EB">
      <w:pPr>
        <w:spacing w:line="360" w:lineRule="auto"/>
        <w:rPr>
          <w:rFonts w:hint="eastAsia" w:cs="宋体" w:asciiTheme="minorEastAsia" w:hAnsiTheme="minorEastAsia"/>
          <w:b/>
          <w:snapToGrid w:val="0"/>
          <w:color w:val="000000"/>
          <w:spacing w:val="-4"/>
          <w:kern w:val="0"/>
          <w:sz w:val="28"/>
          <w:szCs w:val="28"/>
          <w:lang w:val="en-US" w:eastAsia="zh-CN"/>
        </w:rPr>
      </w:pPr>
      <w:r>
        <w:rPr>
          <w:rFonts w:hint="eastAsia" w:cs="宋体" w:asciiTheme="minorEastAsia" w:hAnsiTheme="minorEastAsia"/>
          <w:snapToGrid w:val="0"/>
          <w:color w:val="000000"/>
          <w:spacing w:val="-4"/>
          <w:kern w:val="0"/>
          <w:sz w:val="28"/>
          <w:szCs w:val="28"/>
        </w:rPr>
        <w:t>要使用。</w:t>
      </w:r>
      <w:r>
        <w:rPr>
          <w:rFonts w:hint="eastAsia" w:cs="宋体" w:asciiTheme="minorEastAsia" w:hAnsiTheme="minorEastAsia"/>
          <w:b/>
          <w:snapToGrid w:val="0"/>
          <w:color w:val="000000"/>
          <w:spacing w:val="-4"/>
          <w:kern w:val="0"/>
          <w:sz w:val="28"/>
          <w:szCs w:val="28"/>
          <w:lang w:val="en-US" w:eastAsia="zh-CN"/>
        </w:rPr>
        <w:t xml:space="preserve"> </w:t>
      </w:r>
    </w:p>
    <w:p w14:paraId="4CBF1E0C">
      <w:pPr>
        <w:pStyle w:val="22"/>
        <w:numPr>
          <w:ilvl w:val="0"/>
          <w:numId w:val="2"/>
        </w:numPr>
        <w:spacing w:line="360" w:lineRule="auto"/>
        <w:ind w:firstLineChars="0"/>
        <w:outlineLvl w:val="0"/>
        <w:rPr>
          <w:rFonts w:hint="eastAsia" w:cs="宋体" w:asciiTheme="minorEastAsia" w:hAnsiTheme="minorEastAsia"/>
          <w:b/>
          <w:snapToGrid w:val="0"/>
          <w:color w:val="000000"/>
          <w:spacing w:val="-4"/>
          <w:kern w:val="0"/>
          <w:sz w:val="28"/>
          <w:szCs w:val="28"/>
          <w:lang w:val="en-US" w:eastAsia="zh-CN"/>
        </w:rPr>
      </w:pPr>
      <w:bookmarkStart w:id="187" w:name="_Toc23220"/>
      <w:r>
        <w:rPr>
          <w:rFonts w:hint="eastAsia" w:cs="宋体" w:asciiTheme="minorEastAsia" w:hAnsiTheme="minorEastAsia"/>
          <w:b/>
          <w:snapToGrid w:val="0"/>
          <w:color w:val="000000"/>
          <w:spacing w:val="-4"/>
          <w:kern w:val="0"/>
          <w:sz w:val="28"/>
          <w:szCs w:val="28"/>
          <w:lang w:val="en-US" w:eastAsia="zh-CN"/>
        </w:rPr>
        <w:t>银期签约如何操作</w:t>
      </w:r>
      <w:bookmarkEnd w:id="187"/>
    </w:p>
    <w:p w14:paraId="5476D71C">
      <w:pPr>
        <w:pStyle w:val="6"/>
        <w:spacing w:before="293" w:line="360" w:lineRule="auto"/>
        <w:ind w:left="28" w:right="7"/>
        <w:rPr>
          <w:rFonts w:hint="eastAsia" w:cs="宋体" w:asciiTheme="minorEastAsia" w:hAnsiTheme="minorEastAsia"/>
          <w:b/>
          <w:snapToGrid w:val="0"/>
          <w:color w:val="000000"/>
          <w:spacing w:val="-4"/>
          <w:kern w:val="0"/>
          <w:sz w:val="28"/>
          <w:szCs w:val="28"/>
          <w:lang w:val="en-US" w:eastAsia="zh-CN"/>
        </w:rPr>
      </w:pPr>
      <w:r>
        <w:rPr>
          <w:rFonts w:hint="eastAsia" w:asciiTheme="minorEastAsia" w:hAnsiTheme="minorEastAsia" w:eastAsiaTheme="minorEastAsia"/>
          <w:spacing w:val="-4"/>
          <w:lang w:eastAsia="zh-CN"/>
        </w:rPr>
        <w:t>期货账户开户完成后，可通过对应银行的手机银行、网上银行或银行柜台办理银期签约。详见对应银行的银期签约指南。</w:t>
      </w:r>
    </w:p>
    <w:p w14:paraId="51C608FE">
      <w:pPr>
        <w:pStyle w:val="22"/>
        <w:numPr>
          <w:ilvl w:val="0"/>
          <w:numId w:val="2"/>
        </w:numPr>
        <w:spacing w:line="360" w:lineRule="auto"/>
        <w:ind w:firstLineChars="0"/>
        <w:outlineLvl w:val="0"/>
        <w:rPr>
          <w:rFonts w:hint="eastAsia" w:cs="宋体" w:asciiTheme="minorEastAsia" w:hAnsiTheme="minorEastAsia"/>
          <w:b/>
          <w:snapToGrid w:val="0"/>
          <w:color w:val="000000"/>
          <w:spacing w:val="-4"/>
          <w:kern w:val="0"/>
          <w:sz w:val="28"/>
          <w:szCs w:val="28"/>
          <w:lang w:val="en-US" w:eastAsia="zh-CN"/>
        </w:rPr>
      </w:pPr>
      <w:bookmarkStart w:id="188" w:name="_Toc10632"/>
      <w:r>
        <w:rPr>
          <w:rFonts w:hint="eastAsia" w:cs="宋体" w:asciiTheme="minorEastAsia" w:hAnsiTheme="minorEastAsia"/>
          <w:b/>
          <w:snapToGrid w:val="0"/>
          <w:color w:val="000000"/>
          <w:spacing w:val="-4"/>
          <w:kern w:val="0"/>
          <w:sz w:val="28"/>
          <w:szCs w:val="28"/>
        </w:rPr>
        <w:t>银期解约如何操作</w:t>
      </w:r>
      <w:bookmarkEnd w:id="188"/>
      <w:r>
        <w:rPr>
          <w:rFonts w:hint="eastAsia" w:cs="宋体" w:asciiTheme="minorEastAsia" w:hAnsiTheme="minorEastAsia"/>
          <w:b/>
          <w:snapToGrid w:val="0"/>
          <w:color w:val="000000"/>
          <w:spacing w:val="-4"/>
          <w:kern w:val="0"/>
          <w:sz w:val="28"/>
          <w:szCs w:val="28"/>
          <w:lang w:val="en-US" w:eastAsia="zh-CN"/>
        </w:rPr>
        <w:t xml:space="preserve"> </w:t>
      </w:r>
    </w:p>
    <w:p w14:paraId="0CABD115">
      <w:pPr>
        <w:pStyle w:val="22"/>
        <w:numPr>
          <w:ilvl w:val="0"/>
          <w:numId w:val="0"/>
        </w:numPr>
        <w:spacing w:line="360" w:lineRule="auto"/>
        <w:ind w:leftChars="0"/>
        <w:outlineLvl w:val="0"/>
        <w:rPr>
          <w:rFonts w:hint="eastAsia" w:cs="宋体" w:asciiTheme="minorEastAsia" w:hAnsiTheme="minorEastAsia"/>
          <w:b/>
          <w:snapToGrid w:val="0"/>
          <w:color w:val="000000"/>
          <w:spacing w:val="-4"/>
          <w:kern w:val="0"/>
          <w:sz w:val="28"/>
          <w:szCs w:val="28"/>
          <w:lang w:val="en-US" w:eastAsia="zh-CN"/>
        </w:rPr>
      </w:pPr>
      <w:bookmarkStart w:id="189" w:name="_Toc18020"/>
      <w:r>
        <w:rPr>
          <w:rFonts w:hint="eastAsia" w:cs="宋体" w:asciiTheme="minorEastAsia" w:hAnsiTheme="minorEastAsia"/>
          <w:snapToGrid w:val="0"/>
          <w:color w:val="000000"/>
          <w:spacing w:val="-4"/>
          <w:kern w:val="0"/>
          <w:sz w:val="28"/>
          <w:szCs w:val="28"/>
        </w:rPr>
        <w:t>可通过对应银行的手机银行、网上银行或银行柜台办理银期解约。银行卡当日如有银期转账或余额查询操作则当日无法办理银期解约。</w:t>
      </w:r>
      <w:bookmarkEnd w:id="189"/>
    </w:p>
    <w:p w14:paraId="6310FB5C">
      <w:pPr>
        <w:pStyle w:val="22"/>
        <w:numPr>
          <w:ilvl w:val="0"/>
          <w:numId w:val="2"/>
        </w:numPr>
        <w:spacing w:line="360" w:lineRule="auto"/>
        <w:ind w:firstLineChars="0"/>
        <w:outlineLvl w:val="0"/>
        <w:rPr>
          <w:rFonts w:hint="eastAsia" w:cs="宋体" w:asciiTheme="minorEastAsia" w:hAnsiTheme="minorEastAsia"/>
          <w:b/>
          <w:snapToGrid w:val="0"/>
          <w:color w:val="000000"/>
          <w:spacing w:val="-4"/>
          <w:kern w:val="0"/>
          <w:sz w:val="28"/>
          <w:szCs w:val="28"/>
          <w:lang w:val="en-US" w:eastAsia="zh-CN"/>
        </w:rPr>
      </w:pPr>
      <w:bookmarkStart w:id="190" w:name="_Toc31348"/>
      <w:r>
        <w:rPr>
          <w:rFonts w:hint="eastAsia" w:cs="宋体" w:asciiTheme="minorEastAsia" w:hAnsiTheme="minorEastAsia"/>
          <w:b/>
          <w:snapToGrid w:val="0"/>
          <w:color w:val="000000"/>
          <w:spacing w:val="-4"/>
          <w:kern w:val="0"/>
          <w:sz w:val="28"/>
          <w:szCs w:val="28"/>
        </w:rPr>
        <w:t>银期签约时，提示无可用验证方式怎么办</w:t>
      </w:r>
      <w:bookmarkEnd w:id="190"/>
    </w:p>
    <w:p w14:paraId="0196D25C">
      <w:pPr>
        <w:spacing w:line="360" w:lineRule="auto"/>
        <w:rPr>
          <w:rFonts w:hint="eastAsia" w:cs="宋体" w:asciiTheme="minorEastAsia" w:hAnsiTheme="minorEastAsia"/>
          <w:b/>
          <w:snapToGrid w:val="0"/>
          <w:color w:val="000000"/>
          <w:spacing w:val="-4"/>
          <w:kern w:val="0"/>
          <w:sz w:val="28"/>
          <w:szCs w:val="28"/>
          <w:lang w:val="en-US" w:eastAsia="zh-CN"/>
        </w:rPr>
      </w:pPr>
      <w:r>
        <w:rPr>
          <w:rFonts w:hint="eastAsia" w:cs="宋体" w:asciiTheme="minorEastAsia" w:hAnsiTheme="minorEastAsia"/>
          <w:snapToGrid w:val="0"/>
          <w:color w:val="000000"/>
          <w:spacing w:val="-4"/>
          <w:kern w:val="0"/>
          <w:sz w:val="28"/>
          <w:szCs w:val="28"/>
        </w:rPr>
        <w:t>如客户签约对应的银行卡无U盾、K宝、电子密码器等电子验证设备，系统将提示无可用验证方式，请客户赴银行柜台办理银期签约业务。</w:t>
      </w:r>
    </w:p>
    <w:p w14:paraId="289890CD">
      <w:pPr>
        <w:pStyle w:val="22"/>
        <w:numPr>
          <w:ilvl w:val="0"/>
          <w:numId w:val="2"/>
        </w:numPr>
        <w:spacing w:line="360" w:lineRule="auto"/>
        <w:ind w:firstLineChars="0"/>
        <w:outlineLvl w:val="0"/>
        <w:rPr>
          <w:rFonts w:hint="eastAsia" w:cs="宋体" w:asciiTheme="minorEastAsia" w:hAnsiTheme="minorEastAsia"/>
          <w:b/>
          <w:snapToGrid w:val="0"/>
          <w:color w:val="000000"/>
          <w:spacing w:val="-4"/>
          <w:kern w:val="0"/>
          <w:sz w:val="28"/>
          <w:szCs w:val="28"/>
          <w:lang w:val="en-US" w:eastAsia="zh-CN"/>
        </w:rPr>
      </w:pPr>
      <w:bookmarkStart w:id="191" w:name="_Toc2637"/>
      <w:r>
        <w:rPr>
          <w:rFonts w:hint="eastAsia" w:cs="宋体" w:asciiTheme="minorEastAsia" w:hAnsiTheme="minorEastAsia"/>
          <w:b/>
          <w:snapToGrid w:val="0"/>
          <w:color w:val="000000"/>
          <w:spacing w:val="-4"/>
          <w:kern w:val="0"/>
          <w:sz w:val="28"/>
          <w:szCs w:val="28"/>
        </w:rPr>
        <w:t>手续费定义</w:t>
      </w:r>
      <w:bookmarkEnd w:id="191"/>
    </w:p>
    <w:p w14:paraId="75AD7B17">
      <w:pPr>
        <w:spacing w:line="360" w:lineRule="auto"/>
        <w:rPr>
          <w:rFonts w:hint="eastAsia" w:cs="宋体" w:asciiTheme="minorEastAsia" w:hAnsiTheme="minorEastAsia"/>
          <w:b/>
          <w:snapToGrid w:val="0"/>
          <w:color w:val="000000"/>
          <w:spacing w:val="-4"/>
          <w:kern w:val="0"/>
          <w:sz w:val="28"/>
          <w:szCs w:val="28"/>
          <w:lang w:val="en-US" w:eastAsia="zh-CN"/>
        </w:rPr>
      </w:pPr>
      <w:r>
        <w:rPr>
          <w:rFonts w:hint="eastAsia" w:cs="宋体" w:asciiTheme="minorEastAsia" w:hAnsiTheme="minorEastAsia"/>
          <w:snapToGrid w:val="0"/>
          <w:color w:val="000000"/>
          <w:spacing w:val="-4"/>
          <w:kern w:val="0"/>
          <w:sz w:val="28"/>
          <w:szCs w:val="28"/>
        </w:rPr>
        <w:t>期货手续费是指进行期货交易时支付给交易所及期货公司的费用，由期货公司代扣除。不同合约手续费标准不同。</w:t>
      </w:r>
      <w:r>
        <w:rPr>
          <w:rFonts w:hint="eastAsia" w:cs="宋体" w:asciiTheme="minorEastAsia" w:hAnsiTheme="minorEastAsia"/>
          <w:b/>
          <w:snapToGrid w:val="0"/>
          <w:color w:val="000000"/>
          <w:spacing w:val="-4"/>
          <w:kern w:val="0"/>
          <w:sz w:val="28"/>
          <w:szCs w:val="28"/>
          <w:lang w:val="en-US" w:eastAsia="zh-CN"/>
        </w:rPr>
        <w:t xml:space="preserve"> </w:t>
      </w:r>
    </w:p>
    <w:p w14:paraId="23D59259">
      <w:pPr>
        <w:pStyle w:val="22"/>
        <w:numPr>
          <w:ilvl w:val="0"/>
          <w:numId w:val="2"/>
        </w:numPr>
        <w:spacing w:line="360" w:lineRule="auto"/>
        <w:ind w:firstLineChars="0"/>
        <w:outlineLvl w:val="0"/>
        <w:rPr>
          <w:rFonts w:hint="eastAsia" w:cs="宋体" w:asciiTheme="minorEastAsia" w:hAnsiTheme="minorEastAsia"/>
          <w:b/>
          <w:snapToGrid w:val="0"/>
          <w:color w:val="000000"/>
          <w:spacing w:val="-4"/>
          <w:kern w:val="0"/>
          <w:sz w:val="28"/>
          <w:szCs w:val="28"/>
          <w:lang w:val="en-US" w:eastAsia="zh-CN"/>
        </w:rPr>
      </w:pPr>
      <w:bookmarkStart w:id="192" w:name="_Toc13013"/>
      <w:r>
        <w:rPr>
          <w:rFonts w:hint="eastAsia" w:cs="宋体" w:asciiTheme="minorEastAsia" w:hAnsiTheme="minorEastAsia"/>
          <w:b/>
          <w:snapToGrid w:val="0"/>
          <w:color w:val="000000"/>
          <w:spacing w:val="-4"/>
          <w:kern w:val="0"/>
          <w:sz w:val="28"/>
          <w:szCs w:val="28"/>
        </w:rPr>
        <w:t>我公司手续费收取标准</w:t>
      </w:r>
      <w:bookmarkEnd w:id="192"/>
    </w:p>
    <w:p w14:paraId="3132ED29">
      <w:pPr>
        <w:pStyle w:val="22"/>
        <w:numPr>
          <w:ilvl w:val="0"/>
          <w:numId w:val="0"/>
        </w:numPr>
        <w:spacing w:line="360" w:lineRule="auto"/>
        <w:ind w:leftChars="0"/>
        <w:outlineLvl w:val="0"/>
        <w:rPr>
          <w:rFonts w:hint="eastAsia" w:cs="宋体" w:asciiTheme="minorEastAsia" w:hAnsiTheme="minorEastAsia"/>
          <w:b/>
          <w:snapToGrid w:val="0"/>
          <w:color w:val="000000"/>
          <w:spacing w:val="-4"/>
          <w:kern w:val="0"/>
          <w:sz w:val="28"/>
          <w:szCs w:val="28"/>
          <w:lang w:val="en-US" w:eastAsia="zh-CN"/>
        </w:rPr>
      </w:pPr>
      <w:bookmarkStart w:id="193" w:name="_Toc23665"/>
      <w:r>
        <w:rPr>
          <w:rFonts w:hint="eastAsia" w:cs="宋体" w:asciiTheme="minorEastAsia" w:hAnsiTheme="minorEastAsia"/>
          <w:snapToGrid w:val="0"/>
          <w:color w:val="000000"/>
          <w:spacing w:val="-4"/>
          <w:kern w:val="0"/>
          <w:sz w:val="28"/>
          <w:szCs w:val="28"/>
        </w:rPr>
        <w:t>开户后默认按照交易所三倍标准收取。具体各品种合约收取标准可在我司官网或我司APP上查看。</w:t>
      </w:r>
      <w:bookmarkEnd w:id="193"/>
    </w:p>
    <w:p w14:paraId="2EFD504B">
      <w:pPr>
        <w:pStyle w:val="22"/>
        <w:numPr>
          <w:ilvl w:val="0"/>
          <w:numId w:val="2"/>
        </w:numPr>
        <w:spacing w:line="360" w:lineRule="auto"/>
        <w:ind w:firstLineChars="0"/>
        <w:outlineLvl w:val="0"/>
        <w:rPr>
          <w:rFonts w:hint="eastAsia" w:cs="宋体" w:asciiTheme="minorEastAsia" w:hAnsiTheme="minorEastAsia"/>
          <w:b/>
          <w:snapToGrid w:val="0"/>
          <w:color w:val="000000"/>
          <w:spacing w:val="-4"/>
          <w:kern w:val="0"/>
          <w:sz w:val="28"/>
          <w:szCs w:val="28"/>
          <w:lang w:val="en-US" w:eastAsia="zh-CN"/>
        </w:rPr>
      </w:pPr>
      <w:bookmarkStart w:id="194" w:name="_Toc13235"/>
      <w:r>
        <w:rPr>
          <w:rFonts w:hint="eastAsia" w:cs="宋体" w:asciiTheme="minorEastAsia" w:hAnsiTheme="minorEastAsia"/>
          <w:b/>
          <w:snapToGrid w:val="0"/>
          <w:color w:val="000000"/>
          <w:spacing w:val="-4"/>
          <w:kern w:val="0"/>
          <w:sz w:val="28"/>
          <w:szCs w:val="28"/>
        </w:rPr>
        <w:t>手续费如何申请优惠</w:t>
      </w:r>
      <w:bookmarkEnd w:id="194"/>
    </w:p>
    <w:p w14:paraId="63999A95">
      <w:pPr>
        <w:pStyle w:val="22"/>
        <w:numPr>
          <w:ilvl w:val="0"/>
          <w:numId w:val="0"/>
        </w:numPr>
        <w:spacing w:line="360" w:lineRule="auto"/>
        <w:ind w:leftChars="0"/>
        <w:outlineLvl w:val="0"/>
        <w:rPr>
          <w:rFonts w:hint="eastAsia" w:cs="宋体" w:asciiTheme="minorEastAsia" w:hAnsiTheme="minorEastAsia"/>
          <w:b/>
          <w:snapToGrid w:val="0"/>
          <w:color w:val="000000"/>
          <w:spacing w:val="-4"/>
          <w:kern w:val="0"/>
          <w:sz w:val="28"/>
          <w:szCs w:val="28"/>
          <w:lang w:val="en-US" w:eastAsia="zh-CN"/>
        </w:rPr>
      </w:pPr>
      <w:bookmarkStart w:id="195" w:name="_Toc14494"/>
      <w:r>
        <w:rPr>
          <w:rFonts w:hint="eastAsia" w:cs="宋体" w:asciiTheme="minorEastAsia" w:hAnsiTheme="minorEastAsia"/>
          <w:snapToGrid w:val="0"/>
          <w:color w:val="000000"/>
          <w:spacing w:val="-4"/>
          <w:kern w:val="0"/>
          <w:sz w:val="28"/>
          <w:szCs w:val="28"/>
        </w:rPr>
        <w:t>客户咨询或办理手续费下调业务的，可让客户与客户经理协商申请。</w:t>
      </w:r>
      <w:bookmarkEnd w:id="195"/>
    </w:p>
    <w:p w14:paraId="51717445">
      <w:pPr>
        <w:pStyle w:val="22"/>
        <w:numPr>
          <w:ilvl w:val="0"/>
          <w:numId w:val="2"/>
        </w:numPr>
        <w:spacing w:line="360" w:lineRule="auto"/>
        <w:ind w:firstLineChars="0"/>
        <w:outlineLvl w:val="0"/>
        <w:rPr>
          <w:rFonts w:hint="eastAsia" w:cs="宋体" w:asciiTheme="minorEastAsia" w:hAnsiTheme="minorEastAsia"/>
          <w:b/>
          <w:snapToGrid w:val="0"/>
          <w:color w:val="000000"/>
          <w:spacing w:val="-4"/>
          <w:kern w:val="0"/>
          <w:sz w:val="28"/>
          <w:szCs w:val="28"/>
          <w:lang w:val="en-US" w:eastAsia="zh-CN"/>
        </w:rPr>
      </w:pPr>
      <w:bookmarkStart w:id="196" w:name="_Toc13562"/>
      <w:r>
        <w:rPr>
          <w:rFonts w:hint="eastAsia" w:cs="宋体" w:asciiTheme="minorEastAsia" w:hAnsiTheme="minorEastAsia"/>
          <w:b/>
          <w:snapToGrid w:val="0"/>
          <w:color w:val="000000"/>
          <w:spacing w:val="-4"/>
          <w:kern w:val="0"/>
          <w:sz w:val="28"/>
          <w:szCs w:val="28"/>
        </w:rPr>
        <w:t>手续费是按照买卖双边收取吗</w:t>
      </w:r>
      <w:bookmarkEnd w:id="196"/>
    </w:p>
    <w:p w14:paraId="4E0CA996">
      <w:pPr>
        <w:pStyle w:val="22"/>
        <w:numPr>
          <w:ilvl w:val="0"/>
          <w:numId w:val="0"/>
        </w:numPr>
        <w:spacing w:line="360" w:lineRule="auto"/>
        <w:ind w:leftChars="0"/>
        <w:outlineLvl w:val="0"/>
        <w:rPr>
          <w:rFonts w:hint="eastAsia" w:cs="宋体" w:asciiTheme="minorEastAsia" w:hAnsiTheme="minorEastAsia"/>
          <w:b/>
          <w:snapToGrid w:val="0"/>
          <w:color w:val="000000"/>
          <w:spacing w:val="-4"/>
          <w:kern w:val="0"/>
          <w:sz w:val="28"/>
          <w:szCs w:val="28"/>
          <w:lang w:val="en-US" w:eastAsia="zh-CN"/>
        </w:rPr>
      </w:pPr>
      <w:bookmarkStart w:id="197" w:name="_Toc23808"/>
      <w:r>
        <w:rPr>
          <w:rFonts w:hint="eastAsia" w:cs="宋体" w:asciiTheme="minorEastAsia" w:hAnsiTheme="minorEastAsia"/>
          <w:snapToGrid w:val="0"/>
          <w:color w:val="000000"/>
          <w:spacing w:val="-4"/>
          <w:kern w:val="0"/>
          <w:sz w:val="28"/>
          <w:szCs w:val="28"/>
        </w:rPr>
        <w:t>期货交易手续费为双向收取，部分期货品种合约免收平今仓手续费，部分期货品种合约高收平今仓手续费，具体以交易所公告或公司公告为准。</w:t>
      </w:r>
      <w:bookmarkEnd w:id="197"/>
      <w:r>
        <w:rPr>
          <w:rFonts w:hint="eastAsia" w:cs="宋体" w:asciiTheme="minorEastAsia" w:hAnsiTheme="minorEastAsia"/>
          <w:b/>
          <w:snapToGrid w:val="0"/>
          <w:color w:val="000000"/>
          <w:spacing w:val="-4"/>
          <w:kern w:val="0"/>
          <w:sz w:val="28"/>
          <w:szCs w:val="28"/>
          <w:lang w:val="en-US" w:eastAsia="zh-CN"/>
        </w:rPr>
        <w:t xml:space="preserve"> </w:t>
      </w:r>
    </w:p>
    <w:p w14:paraId="1465950A">
      <w:pPr>
        <w:pStyle w:val="22"/>
        <w:numPr>
          <w:ilvl w:val="0"/>
          <w:numId w:val="2"/>
        </w:numPr>
        <w:spacing w:line="360" w:lineRule="auto"/>
        <w:ind w:firstLineChars="0"/>
        <w:outlineLvl w:val="0"/>
        <w:rPr>
          <w:rFonts w:hint="eastAsia" w:cs="宋体" w:asciiTheme="minorEastAsia" w:hAnsiTheme="minorEastAsia"/>
          <w:b/>
          <w:snapToGrid w:val="0"/>
          <w:color w:val="000000"/>
          <w:spacing w:val="-4"/>
          <w:kern w:val="0"/>
          <w:sz w:val="28"/>
          <w:szCs w:val="28"/>
          <w:lang w:val="en-US" w:eastAsia="zh-CN"/>
        </w:rPr>
      </w:pPr>
      <w:bookmarkStart w:id="198" w:name="_Toc4689"/>
      <w:r>
        <w:rPr>
          <w:rFonts w:hint="eastAsia" w:cs="宋体" w:asciiTheme="minorEastAsia" w:hAnsiTheme="minorEastAsia"/>
          <w:b/>
          <w:snapToGrid w:val="0"/>
          <w:color w:val="000000"/>
          <w:spacing w:val="-4"/>
          <w:kern w:val="0"/>
          <w:sz w:val="28"/>
          <w:szCs w:val="28"/>
        </w:rPr>
        <w:t>怎么查询交易手续费</w:t>
      </w:r>
      <w:bookmarkEnd w:id="198"/>
    </w:p>
    <w:p w14:paraId="0C4A5FDF">
      <w:pPr>
        <w:pStyle w:val="22"/>
        <w:numPr>
          <w:ilvl w:val="0"/>
          <w:numId w:val="0"/>
        </w:numPr>
        <w:spacing w:line="360" w:lineRule="auto"/>
        <w:ind w:leftChars="0"/>
        <w:outlineLvl w:val="0"/>
        <w:rPr>
          <w:rFonts w:hint="eastAsia" w:cs="宋体" w:asciiTheme="minorEastAsia" w:hAnsiTheme="minorEastAsia"/>
          <w:b/>
          <w:snapToGrid w:val="0"/>
          <w:color w:val="000000"/>
          <w:spacing w:val="-4"/>
          <w:kern w:val="0"/>
          <w:sz w:val="28"/>
          <w:szCs w:val="28"/>
          <w:lang w:val="en-US" w:eastAsia="zh-CN"/>
        </w:rPr>
      </w:pPr>
      <w:bookmarkStart w:id="199" w:name="_Toc7202"/>
      <w:r>
        <w:rPr>
          <w:rFonts w:hint="eastAsia" w:cs="宋体" w:asciiTheme="minorEastAsia" w:hAnsiTheme="minorEastAsia"/>
          <w:snapToGrid w:val="0"/>
          <w:color w:val="000000"/>
          <w:spacing w:val="-4"/>
          <w:kern w:val="0"/>
          <w:sz w:val="28"/>
          <w:szCs w:val="28"/>
        </w:rPr>
        <w:t>具体手续费收取费用可通过交易结算单查询。</w:t>
      </w:r>
      <w:bookmarkEnd w:id="199"/>
    </w:p>
    <w:p w14:paraId="517F7399">
      <w:pPr>
        <w:pStyle w:val="22"/>
        <w:numPr>
          <w:ilvl w:val="0"/>
          <w:numId w:val="2"/>
        </w:numPr>
        <w:spacing w:line="360" w:lineRule="auto"/>
        <w:ind w:firstLineChars="0"/>
        <w:outlineLvl w:val="0"/>
        <w:rPr>
          <w:rFonts w:hint="eastAsia" w:cs="宋体" w:asciiTheme="minorEastAsia" w:hAnsiTheme="minorEastAsia"/>
          <w:b/>
          <w:snapToGrid w:val="0"/>
          <w:color w:val="000000"/>
          <w:spacing w:val="-4"/>
          <w:kern w:val="0"/>
          <w:sz w:val="28"/>
          <w:szCs w:val="28"/>
          <w:lang w:val="en-US" w:eastAsia="zh-CN"/>
        </w:rPr>
      </w:pPr>
      <w:bookmarkStart w:id="200" w:name="_Toc11152"/>
      <w:r>
        <w:rPr>
          <w:rFonts w:hint="eastAsia" w:cs="宋体" w:asciiTheme="minorEastAsia" w:hAnsiTheme="minorEastAsia"/>
          <w:b/>
          <w:snapToGrid w:val="0"/>
          <w:color w:val="000000"/>
          <w:spacing w:val="-4"/>
          <w:kern w:val="0"/>
          <w:sz w:val="28"/>
          <w:szCs w:val="28"/>
        </w:rPr>
        <w:t>请问挂单、撤单收取手续费吗</w:t>
      </w:r>
      <w:bookmarkEnd w:id="200"/>
    </w:p>
    <w:p w14:paraId="47A76275">
      <w:pPr>
        <w:pStyle w:val="22"/>
        <w:numPr>
          <w:ilvl w:val="0"/>
          <w:numId w:val="0"/>
        </w:numPr>
        <w:spacing w:line="360" w:lineRule="auto"/>
        <w:ind w:leftChars="0"/>
        <w:outlineLvl w:val="0"/>
        <w:rPr>
          <w:rFonts w:hint="eastAsia" w:cs="宋体" w:asciiTheme="minorEastAsia" w:hAnsiTheme="minorEastAsia"/>
          <w:b/>
          <w:snapToGrid w:val="0"/>
          <w:color w:val="000000"/>
          <w:spacing w:val="-4"/>
          <w:kern w:val="0"/>
          <w:sz w:val="28"/>
          <w:szCs w:val="28"/>
          <w:lang w:val="en-US" w:eastAsia="zh-CN"/>
        </w:rPr>
      </w:pPr>
      <w:bookmarkStart w:id="201" w:name="_Toc14353"/>
      <w:r>
        <w:rPr>
          <w:rFonts w:hint="eastAsia" w:cs="宋体" w:asciiTheme="minorEastAsia" w:hAnsiTheme="minorEastAsia"/>
          <w:snapToGrid w:val="0"/>
          <w:color w:val="000000"/>
          <w:spacing w:val="-4"/>
          <w:kern w:val="0"/>
          <w:sz w:val="28"/>
          <w:szCs w:val="28"/>
        </w:rPr>
        <w:t>期货交易只有买卖成交时收取手续费，挂撤单一般不收取手续费（交易股指期货时每笔委托会收取1元申报费;交易部分合约时对当日在该合约上成交手数超过一定标准的客户收取规定的申报费）。</w:t>
      </w:r>
      <w:bookmarkEnd w:id="201"/>
      <w:r>
        <w:rPr>
          <w:rFonts w:hint="eastAsia" w:cs="宋体" w:asciiTheme="minorEastAsia" w:hAnsiTheme="minorEastAsia"/>
          <w:b/>
          <w:snapToGrid w:val="0"/>
          <w:color w:val="000000"/>
          <w:spacing w:val="-4"/>
          <w:kern w:val="0"/>
          <w:sz w:val="28"/>
          <w:szCs w:val="28"/>
          <w:lang w:val="en-US" w:eastAsia="zh-CN"/>
        </w:rPr>
        <w:t xml:space="preserve"> </w:t>
      </w:r>
    </w:p>
    <w:p w14:paraId="3034C90B">
      <w:pPr>
        <w:pStyle w:val="22"/>
        <w:numPr>
          <w:ilvl w:val="0"/>
          <w:numId w:val="2"/>
        </w:numPr>
        <w:spacing w:line="360" w:lineRule="auto"/>
        <w:ind w:firstLineChars="0"/>
        <w:outlineLvl w:val="0"/>
        <w:rPr>
          <w:rFonts w:hint="eastAsia" w:cs="宋体" w:asciiTheme="minorEastAsia" w:hAnsiTheme="minorEastAsia"/>
          <w:b/>
          <w:snapToGrid w:val="0"/>
          <w:color w:val="000000"/>
          <w:spacing w:val="-4"/>
          <w:kern w:val="0"/>
          <w:sz w:val="28"/>
          <w:szCs w:val="28"/>
          <w:lang w:val="en-US" w:eastAsia="zh-CN"/>
        </w:rPr>
      </w:pPr>
      <w:bookmarkStart w:id="202" w:name="_Toc24028"/>
      <w:r>
        <w:rPr>
          <w:rFonts w:hint="eastAsia" w:cs="宋体" w:asciiTheme="minorEastAsia" w:hAnsiTheme="minorEastAsia"/>
          <w:b/>
          <w:snapToGrid w:val="0"/>
          <w:color w:val="000000"/>
          <w:spacing w:val="-4"/>
          <w:kern w:val="0"/>
          <w:sz w:val="28"/>
          <w:szCs w:val="28"/>
        </w:rPr>
        <w:t>交易除了手续费还有什么其他费用</w:t>
      </w:r>
      <w:bookmarkEnd w:id="202"/>
    </w:p>
    <w:p w14:paraId="6012E27E">
      <w:pPr>
        <w:pStyle w:val="22"/>
        <w:numPr>
          <w:ilvl w:val="0"/>
          <w:numId w:val="0"/>
        </w:numPr>
        <w:spacing w:line="360" w:lineRule="auto"/>
        <w:ind w:leftChars="0"/>
        <w:outlineLvl w:val="0"/>
        <w:rPr>
          <w:rFonts w:hint="eastAsia" w:cs="宋体" w:asciiTheme="minorEastAsia" w:hAnsiTheme="minorEastAsia"/>
          <w:b/>
          <w:snapToGrid w:val="0"/>
          <w:color w:val="000000"/>
          <w:spacing w:val="-4"/>
          <w:kern w:val="0"/>
          <w:sz w:val="28"/>
          <w:szCs w:val="28"/>
          <w:lang w:val="en-US" w:eastAsia="zh-CN"/>
        </w:rPr>
      </w:pPr>
      <w:bookmarkStart w:id="203" w:name="_Toc22400"/>
      <w:r>
        <w:rPr>
          <w:rFonts w:hint="eastAsia" w:cs="宋体" w:asciiTheme="minorEastAsia" w:hAnsiTheme="minorEastAsia"/>
          <w:snapToGrid w:val="0"/>
          <w:color w:val="000000"/>
          <w:spacing w:val="-4"/>
          <w:kern w:val="0"/>
          <w:sz w:val="28"/>
          <w:szCs w:val="28"/>
        </w:rPr>
        <w:t>期货交易一般只收取手续费（部分品种加收申报费），无过夜</w:t>
      </w:r>
      <w:r>
        <w:rPr>
          <w:rFonts w:hint="eastAsia" w:cs="宋体" w:asciiTheme="minorEastAsia" w:hAnsiTheme="minorEastAsia"/>
          <w:snapToGrid w:val="0"/>
          <w:color w:val="000000"/>
          <w:spacing w:val="-4"/>
          <w:kern w:val="0"/>
          <w:sz w:val="28"/>
          <w:szCs w:val="28"/>
        </w:rPr>
        <w:cr/>
      </w:r>
      <w:r>
        <w:rPr>
          <w:rFonts w:hint="eastAsia" w:cs="宋体" w:asciiTheme="minorEastAsia" w:hAnsiTheme="minorEastAsia"/>
          <w:snapToGrid w:val="0"/>
          <w:color w:val="000000"/>
          <w:spacing w:val="-4"/>
          <w:kern w:val="0"/>
          <w:sz w:val="28"/>
          <w:szCs w:val="28"/>
        </w:rPr>
        <w:t>费、递延费、印花税等。</w:t>
      </w:r>
      <w:bookmarkEnd w:id="203"/>
    </w:p>
    <w:p w14:paraId="2FC76730">
      <w:pPr>
        <w:pStyle w:val="22"/>
        <w:numPr>
          <w:ilvl w:val="0"/>
          <w:numId w:val="2"/>
        </w:numPr>
        <w:spacing w:line="360" w:lineRule="auto"/>
        <w:ind w:firstLineChars="0"/>
        <w:outlineLvl w:val="0"/>
        <w:rPr>
          <w:rFonts w:hint="eastAsia" w:cs="宋体" w:asciiTheme="minorEastAsia" w:hAnsiTheme="minorEastAsia"/>
          <w:b/>
          <w:snapToGrid w:val="0"/>
          <w:color w:val="000000"/>
          <w:spacing w:val="-4"/>
          <w:kern w:val="0"/>
          <w:sz w:val="28"/>
          <w:szCs w:val="28"/>
          <w:lang w:val="en-US" w:eastAsia="zh-CN"/>
        </w:rPr>
      </w:pPr>
      <w:bookmarkStart w:id="204" w:name="_Toc696"/>
      <w:r>
        <w:rPr>
          <w:rFonts w:hint="eastAsia" w:cs="宋体" w:asciiTheme="minorEastAsia" w:hAnsiTheme="minorEastAsia"/>
          <w:b/>
          <w:snapToGrid w:val="0"/>
          <w:color w:val="000000"/>
          <w:spacing w:val="-4"/>
          <w:kern w:val="0"/>
          <w:sz w:val="28"/>
          <w:szCs w:val="28"/>
        </w:rPr>
        <w:t>交易手续费如何计算</w:t>
      </w:r>
      <w:bookmarkEnd w:id="204"/>
      <w:r>
        <w:rPr>
          <w:rFonts w:hint="eastAsia" w:cs="宋体" w:asciiTheme="minorEastAsia" w:hAnsiTheme="minorEastAsia"/>
          <w:b/>
          <w:snapToGrid w:val="0"/>
          <w:color w:val="000000"/>
          <w:spacing w:val="-4"/>
          <w:kern w:val="0"/>
          <w:sz w:val="28"/>
          <w:szCs w:val="28"/>
          <w:lang w:val="en-US" w:eastAsia="zh-CN"/>
        </w:rPr>
        <w:t xml:space="preserve"> </w:t>
      </w:r>
    </w:p>
    <w:p w14:paraId="1E6FE6E3">
      <w:pPr>
        <w:pStyle w:val="22"/>
        <w:numPr>
          <w:ilvl w:val="0"/>
          <w:numId w:val="0"/>
        </w:numPr>
        <w:spacing w:line="360" w:lineRule="auto"/>
        <w:ind w:leftChars="0"/>
        <w:outlineLvl w:val="0"/>
        <w:rPr>
          <w:rFonts w:hint="eastAsia" w:cs="宋体" w:asciiTheme="minorEastAsia" w:hAnsiTheme="minorEastAsia"/>
          <w:b/>
          <w:snapToGrid w:val="0"/>
          <w:color w:val="000000"/>
          <w:spacing w:val="-4"/>
          <w:kern w:val="0"/>
          <w:sz w:val="28"/>
          <w:szCs w:val="28"/>
          <w:lang w:val="en-US" w:eastAsia="zh-CN"/>
        </w:rPr>
      </w:pPr>
      <w:bookmarkStart w:id="205" w:name="_Toc27929"/>
      <w:r>
        <w:rPr>
          <w:rFonts w:hint="eastAsia" w:cs="宋体" w:asciiTheme="minorEastAsia" w:hAnsiTheme="minorEastAsia"/>
          <w:snapToGrid w:val="0"/>
          <w:color w:val="000000"/>
          <w:spacing w:val="-4"/>
          <w:kern w:val="0"/>
          <w:sz w:val="28"/>
          <w:szCs w:val="28"/>
        </w:rPr>
        <w:t>期货各品种手续费有两种收取方式，分为按每手固定金额收取</w:t>
      </w:r>
      <w:r>
        <w:rPr>
          <w:rFonts w:hint="eastAsia" w:cs="宋体" w:asciiTheme="minorEastAsia" w:hAnsiTheme="minorEastAsia"/>
          <w:snapToGrid w:val="0"/>
          <w:color w:val="000000"/>
          <w:spacing w:val="-4"/>
          <w:kern w:val="0"/>
          <w:sz w:val="28"/>
          <w:szCs w:val="28"/>
        </w:rPr>
        <w:cr/>
      </w:r>
      <w:r>
        <w:rPr>
          <w:rFonts w:hint="eastAsia" w:cs="宋体" w:asciiTheme="minorEastAsia" w:hAnsiTheme="minorEastAsia"/>
          <w:snapToGrid w:val="0"/>
          <w:color w:val="000000"/>
          <w:spacing w:val="-4"/>
          <w:kern w:val="0"/>
          <w:sz w:val="28"/>
          <w:szCs w:val="28"/>
        </w:rPr>
        <w:t>及按合约价值万分比收取。</w:t>
      </w:r>
      <w:bookmarkEnd w:id="205"/>
    </w:p>
    <w:p w14:paraId="7B2C52F3">
      <w:pPr>
        <w:pStyle w:val="22"/>
        <w:numPr>
          <w:ilvl w:val="0"/>
          <w:numId w:val="2"/>
        </w:numPr>
        <w:spacing w:line="360" w:lineRule="auto"/>
        <w:ind w:firstLineChars="0"/>
        <w:outlineLvl w:val="0"/>
        <w:rPr>
          <w:rFonts w:hint="eastAsia" w:cs="宋体" w:asciiTheme="minorEastAsia" w:hAnsiTheme="minorEastAsia"/>
          <w:b/>
          <w:snapToGrid w:val="0"/>
          <w:color w:val="000000"/>
          <w:spacing w:val="-4"/>
          <w:kern w:val="0"/>
          <w:sz w:val="28"/>
          <w:szCs w:val="28"/>
          <w:lang w:val="en-US" w:eastAsia="zh-CN"/>
        </w:rPr>
      </w:pPr>
      <w:bookmarkStart w:id="206" w:name="_Toc3209"/>
      <w:r>
        <w:rPr>
          <w:rFonts w:hint="eastAsia" w:cs="宋体" w:asciiTheme="minorEastAsia" w:hAnsiTheme="minorEastAsia"/>
          <w:b/>
          <w:snapToGrid w:val="0"/>
          <w:color w:val="000000"/>
          <w:spacing w:val="-4"/>
          <w:kern w:val="0"/>
          <w:sz w:val="28"/>
          <w:szCs w:val="28"/>
        </w:rPr>
        <w:t>如何查看我司保证金收取标准</w:t>
      </w:r>
      <w:bookmarkEnd w:id="206"/>
    </w:p>
    <w:p w14:paraId="3405CE48">
      <w:pPr>
        <w:pStyle w:val="22"/>
        <w:numPr>
          <w:ilvl w:val="0"/>
          <w:numId w:val="0"/>
        </w:numPr>
        <w:spacing w:line="360" w:lineRule="auto"/>
        <w:ind w:leftChars="0"/>
        <w:outlineLvl w:val="0"/>
        <w:rPr>
          <w:rFonts w:hint="eastAsia" w:cs="宋体" w:asciiTheme="minorEastAsia" w:hAnsiTheme="minorEastAsia"/>
          <w:b/>
          <w:snapToGrid w:val="0"/>
          <w:color w:val="000000"/>
          <w:spacing w:val="-4"/>
          <w:kern w:val="0"/>
          <w:sz w:val="28"/>
          <w:szCs w:val="28"/>
          <w:lang w:val="en-US" w:eastAsia="zh-CN"/>
        </w:rPr>
      </w:pPr>
      <w:bookmarkStart w:id="207" w:name="_Toc27242"/>
      <w:r>
        <w:rPr>
          <w:rFonts w:hint="eastAsia" w:cs="宋体" w:asciiTheme="minorEastAsia" w:hAnsiTheme="minorEastAsia"/>
          <w:snapToGrid w:val="0"/>
          <w:color w:val="000000"/>
          <w:spacing w:val="-4"/>
          <w:kern w:val="0"/>
          <w:sz w:val="28"/>
          <w:szCs w:val="28"/>
        </w:rPr>
        <w:t>可在我司官网或我司APP上查看。</w:t>
      </w:r>
      <w:bookmarkEnd w:id="207"/>
      <w:r>
        <w:rPr>
          <w:rFonts w:hint="eastAsia" w:cs="宋体" w:asciiTheme="minorEastAsia" w:hAnsiTheme="minorEastAsia"/>
          <w:b/>
          <w:snapToGrid w:val="0"/>
          <w:color w:val="000000"/>
          <w:spacing w:val="-4"/>
          <w:kern w:val="0"/>
          <w:sz w:val="28"/>
          <w:szCs w:val="28"/>
          <w:lang w:val="en-US" w:eastAsia="zh-CN"/>
        </w:rPr>
        <w:t xml:space="preserve"> </w:t>
      </w:r>
    </w:p>
    <w:p w14:paraId="0DAF7046">
      <w:pPr>
        <w:pStyle w:val="22"/>
        <w:numPr>
          <w:ilvl w:val="0"/>
          <w:numId w:val="2"/>
        </w:numPr>
        <w:spacing w:line="360" w:lineRule="auto"/>
        <w:ind w:firstLineChars="0"/>
        <w:outlineLvl w:val="0"/>
        <w:rPr>
          <w:rFonts w:hint="eastAsia" w:cs="宋体" w:asciiTheme="minorEastAsia" w:hAnsiTheme="minorEastAsia"/>
          <w:b/>
          <w:snapToGrid w:val="0"/>
          <w:color w:val="000000"/>
          <w:spacing w:val="-4"/>
          <w:kern w:val="0"/>
          <w:sz w:val="28"/>
          <w:szCs w:val="28"/>
          <w:lang w:val="en-US" w:eastAsia="zh-CN"/>
        </w:rPr>
      </w:pPr>
      <w:bookmarkStart w:id="208" w:name="_Toc21607"/>
      <w:r>
        <w:rPr>
          <w:rFonts w:hint="eastAsia" w:cs="宋体" w:asciiTheme="minorEastAsia" w:hAnsiTheme="minorEastAsia"/>
          <w:b/>
          <w:snapToGrid w:val="0"/>
          <w:color w:val="000000"/>
          <w:spacing w:val="-4"/>
          <w:kern w:val="0"/>
          <w:sz w:val="28"/>
          <w:szCs w:val="28"/>
        </w:rPr>
        <w:t>保证金比例是否可以申请下调</w:t>
      </w:r>
      <w:bookmarkEnd w:id="208"/>
      <w:r>
        <w:rPr>
          <w:rFonts w:hint="eastAsia" w:cs="宋体" w:asciiTheme="minorEastAsia" w:hAnsiTheme="minorEastAsia"/>
          <w:b/>
          <w:snapToGrid w:val="0"/>
          <w:color w:val="000000"/>
          <w:spacing w:val="-4"/>
          <w:kern w:val="0"/>
          <w:sz w:val="28"/>
          <w:szCs w:val="28"/>
          <w:lang w:val="en-US" w:eastAsia="zh-CN"/>
        </w:rPr>
        <w:t xml:space="preserve"> </w:t>
      </w:r>
    </w:p>
    <w:p w14:paraId="5E980E35">
      <w:pPr>
        <w:pStyle w:val="22"/>
        <w:numPr>
          <w:ilvl w:val="0"/>
          <w:numId w:val="0"/>
        </w:numPr>
        <w:spacing w:line="360" w:lineRule="auto"/>
        <w:ind w:leftChars="0"/>
        <w:outlineLvl w:val="0"/>
        <w:rPr>
          <w:rFonts w:hint="eastAsia" w:cs="宋体" w:asciiTheme="minorEastAsia" w:hAnsiTheme="minorEastAsia"/>
          <w:b/>
          <w:snapToGrid w:val="0"/>
          <w:color w:val="000000"/>
          <w:spacing w:val="-4"/>
          <w:kern w:val="0"/>
          <w:sz w:val="28"/>
          <w:szCs w:val="28"/>
          <w:lang w:val="en-US" w:eastAsia="zh-CN"/>
        </w:rPr>
      </w:pPr>
      <w:bookmarkStart w:id="209" w:name="_Toc8963"/>
      <w:r>
        <w:rPr>
          <w:rFonts w:hint="eastAsia" w:cs="宋体" w:asciiTheme="minorEastAsia" w:hAnsiTheme="minorEastAsia"/>
          <w:snapToGrid w:val="0"/>
          <w:color w:val="000000"/>
          <w:spacing w:val="-4"/>
          <w:kern w:val="0"/>
          <w:sz w:val="28"/>
          <w:szCs w:val="28"/>
        </w:rPr>
        <w:t>客户咨询或办理保证金比例下调业务的，可让客户与客户经理协商申请。</w:t>
      </w:r>
      <w:bookmarkEnd w:id="209"/>
    </w:p>
    <w:p w14:paraId="16E86D1B">
      <w:pPr>
        <w:pStyle w:val="22"/>
        <w:numPr>
          <w:ilvl w:val="0"/>
          <w:numId w:val="2"/>
        </w:numPr>
        <w:spacing w:line="360" w:lineRule="auto"/>
        <w:ind w:firstLineChars="0"/>
        <w:outlineLvl w:val="0"/>
        <w:rPr>
          <w:rFonts w:hint="eastAsia" w:cs="宋体" w:asciiTheme="minorEastAsia" w:hAnsiTheme="minorEastAsia"/>
          <w:b/>
          <w:snapToGrid w:val="0"/>
          <w:color w:val="000000"/>
          <w:spacing w:val="-4"/>
          <w:kern w:val="0"/>
          <w:sz w:val="28"/>
          <w:szCs w:val="28"/>
          <w:lang w:val="en-US" w:eastAsia="zh-CN"/>
        </w:rPr>
      </w:pPr>
      <w:bookmarkStart w:id="210" w:name="_Toc2854"/>
      <w:r>
        <w:rPr>
          <w:rFonts w:hint="eastAsia" w:cs="宋体" w:asciiTheme="minorEastAsia" w:hAnsiTheme="minorEastAsia"/>
          <w:b/>
          <w:snapToGrid w:val="0"/>
          <w:color w:val="000000"/>
          <w:spacing w:val="-4"/>
          <w:kern w:val="0"/>
          <w:sz w:val="28"/>
          <w:szCs w:val="28"/>
        </w:rPr>
        <w:t>投资者保障基金是什么</w:t>
      </w:r>
      <w:bookmarkEnd w:id="210"/>
    </w:p>
    <w:p w14:paraId="040C9484">
      <w:pPr>
        <w:pStyle w:val="22"/>
        <w:numPr>
          <w:ilvl w:val="0"/>
          <w:numId w:val="0"/>
        </w:numPr>
        <w:spacing w:line="360" w:lineRule="auto"/>
        <w:ind w:leftChars="0"/>
        <w:outlineLvl w:val="0"/>
        <w:rPr>
          <w:rFonts w:hint="eastAsia" w:cs="宋体" w:asciiTheme="minorEastAsia" w:hAnsiTheme="minorEastAsia"/>
          <w:b/>
          <w:snapToGrid w:val="0"/>
          <w:color w:val="000000"/>
          <w:spacing w:val="-4"/>
          <w:kern w:val="0"/>
          <w:sz w:val="28"/>
          <w:szCs w:val="28"/>
          <w:lang w:val="en-US" w:eastAsia="zh-CN"/>
        </w:rPr>
      </w:pPr>
      <w:bookmarkStart w:id="211" w:name="_Toc10693"/>
      <w:r>
        <w:rPr>
          <w:rFonts w:hint="eastAsia" w:cs="宋体" w:asciiTheme="minorEastAsia" w:hAnsiTheme="minorEastAsia"/>
          <w:snapToGrid w:val="0"/>
          <w:color w:val="000000"/>
          <w:spacing w:val="-4"/>
          <w:kern w:val="0"/>
          <w:sz w:val="28"/>
          <w:szCs w:val="28"/>
        </w:rPr>
        <w:t>期货投资者保障基金是在期货公司严重违法违纪或者风险控制不力导致保证金出现缺口，可能严重危及社会稳定和期货市场安全时，补偿投资者保证金损失的专项基金。该基金由中国证监会集中管理、统筹使用。目前我司投资者保障基金收取标准为成交金额的千万分之一。</w:t>
      </w:r>
      <w:bookmarkEnd w:id="211"/>
      <w:r>
        <w:rPr>
          <w:rFonts w:hint="eastAsia" w:cs="宋体" w:asciiTheme="minorEastAsia" w:hAnsiTheme="minorEastAsia"/>
          <w:b/>
          <w:snapToGrid w:val="0"/>
          <w:color w:val="000000"/>
          <w:spacing w:val="-4"/>
          <w:kern w:val="0"/>
          <w:sz w:val="28"/>
          <w:szCs w:val="28"/>
          <w:lang w:val="en-US" w:eastAsia="zh-CN"/>
        </w:rPr>
        <w:t xml:space="preserve"> </w:t>
      </w:r>
    </w:p>
    <w:p w14:paraId="5A8A02D9">
      <w:pPr>
        <w:pStyle w:val="22"/>
        <w:numPr>
          <w:ilvl w:val="0"/>
          <w:numId w:val="2"/>
        </w:numPr>
        <w:spacing w:line="360" w:lineRule="auto"/>
        <w:ind w:firstLineChars="0"/>
        <w:outlineLvl w:val="0"/>
        <w:rPr>
          <w:rFonts w:hint="eastAsia" w:cs="宋体" w:asciiTheme="minorEastAsia" w:hAnsiTheme="minorEastAsia"/>
          <w:b/>
          <w:snapToGrid w:val="0"/>
          <w:color w:val="000000"/>
          <w:spacing w:val="-4"/>
          <w:kern w:val="0"/>
          <w:sz w:val="28"/>
          <w:szCs w:val="28"/>
          <w:lang w:val="en-US" w:eastAsia="zh-CN"/>
        </w:rPr>
      </w:pPr>
      <w:bookmarkStart w:id="212" w:name="_Toc4097"/>
      <w:r>
        <w:rPr>
          <w:rFonts w:hint="eastAsia" w:cs="宋体" w:asciiTheme="minorEastAsia" w:hAnsiTheme="minorEastAsia"/>
          <w:b/>
          <w:snapToGrid w:val="0"/>
          <w:color w:val="000000"/>
          <w:spacing w:val="-4"/>
          <w:kern w:val="0"/>
          <w:sz w:val="28"/>
          <w:szCs w:val="28"/>
        </w:rPr>
        <w:t>仿真账户如何申请</w:t>
      </w:r>
      <w:bookmarkEnd w:id="212"/>
    </w:p>
    <w:p w14:paraId="2AD696B8">
      <w:pPr>
        <w:pStyle w:val="22"/>
        <w:numPr>
          <w:ilvl w:val="0"/>
          <w:numId w:val="0"/>
        </w:numPr>
        <w:spacing w:line="360" w:lineRule="auto"/>
        <w:ind w:leftChars="0"/>
        <w:outlineLvl w:val="0"/>
        <w:rPr>
          <w:rFonts w:hint="eastAsia" w:cs="宋体" w:asciiTheme="minorEastAsia" w:hAnsiTheme="minorEastAsia"/>
          <w:b/>
          <w:snapToGrid w:val="0"/>
          <w:color w:val="000000"/>
          <w:spacing w:val="-4"/>
          <w:kern w:val="0"/>
          <w:sz w:val="28"/>
          <w:szCs w:val="28"/>
          <w:lang w:val="en-US" w:eastAsia="zh-CN"/>
        </w:rPr>
      </w:pPr>
      <w:bookmarkStart w:id="213" w:name="_Toc373"/>
      <w:r>
        <w:rPr>
          <w:rFonts w:hint="eastAsia" w:cs="宋体" w:asciiTheme="minorEastAsia" w:hAnsiTheme="minorEastAsia"/>
          <w:snapToGrid w:val="0"/>
          <w:color w:val="000000"/>
          <w:spacing w:val="-4"/>
          <w:kern w:val="0"/>
          <w:sz w:val="28"/>
          <w:szCs w:val="28"/>
        </w:rPr>
        <w:t>可通过通惠</w:t>
      </w:r>
      <w:r>
        <w:rPr>
          <w:rFonts w:hint="eastAsia" w:cs="宋体" w:asciiTheme="minorEastAsia" w:hAnsiTheme="minorEastAsia"/>
          <w:snapToGrid w:val="0"/>
          <w:color w:val="000000"/>
          <w:spacing w:val="-4"/>
          <w:kern w:val="0"/>
          <w:sz w:val="28"/>
          <w:szCs w:val="28"/>
          <w:lang w:eastAsia="en-US"/>
        </w:rPr>
        <w:t>期货手机软件点击</w:t>
      </w:r>
      <w:r>
        <w:rPr>
          <w:rFonts w:hint="eastAsia" w:cs="宋体" w:asciiTheme="minorEastAsia" w:hAnsiTheme="minorEastAsia"/>
          <w:snapToGrid w:val="0"/>
          <w:color w:val="000000"/>
          <w:spacing w:val="-4"/>
          <w:kern w:val="0"/>
          <w:sz w:val="28"/>
          <w:szCs w:val="28"/>
        </w:rPr>
        <w:t>【首页】--【掌上营业厅】--【仿真账户申请】进行申请，也可通过来电咨询，我司核实身份证后为客户申请。申请成功后，以短信形式发送仿真账户和密码给客户。</w:t>
      </w:r>
      <w:bookmarkEnd w:id="213"/>
    </w:p>
    <w:p w14:paraId="7DA9BEFF">
      <w:pPr>
        <w:pStyle w:val="22"/>
        <w:numPr>
          <w:ilvl w:val="0"/>
          <w:numId w:val="2"/>
        </w:numPr>
        <w:spacing w:line="360" w:lineRule="auto"/>
        <w:ind w:firstLineChars="0"/>
        <w:outlineLvl w:val="0"/>
        <w:rPr>
          <w:rFonts w:hint="eastAsia" w:cs="宋体" w:asciiTheme="minorEastAsia" w:hAnsiTheme="minorEastAsia"/>
          <w:b/>
          <w:snapToGrid w:val="0"/>
          <w:color w:val="000000"/>
          <w:spacing w:val="-4"/>
          <w:kern w:val="0"/>
          <w:sz w:val="28"/>
          <w:szCs w:val="28"/>
          <w:lang w:val="en-US" w:eastAsia="zh-CN"/>
        </w:rPr>
      </w:pPr>
      <w:bookmarkStart w:id="214" w:name="_Toc16720"/>
      <w:r>
        <w:rPr>
          <w:rFonts w:hint="eastAsia" w:cs="宋体" w:asciiTheme="minorEastAsia" w:hAnsiTheme="minorEastAsia"/>
          <w:b/>
          <w:snapToGrid w:val="0"/>
          <w:color w:val="000000"/>
          <w:spacing w:val="-4"/>
          <w:kern w:val="0"/>
          <w:sz w:val="28"/>
          <w:szCs w:val="28"/>
        </w:rPr>
        <w:t>仿真账号可以交易哪些品种</w:t>
      </w:r>
      <w:bookmarkEnd w:id="214"/>
    </w:p>
    <w:p w14:paraId="589EBD36">
      <w:pPr>
        <w:pStyle w:val="22"/>
        <w:numPr>
          <w:ilvl w:val="0"/>
          <w:numId w:val="0"/>
        </w:numPr>
        <w:spacing w:line="360" w:lineRule="auto"/>
        <w:ind w:leftChars="0"/>
        <w:outlineLvl w:val="0"/>
        <w:rPr>
          <w:rFonts w:hint="eastAsia" w:cs="宋体" w:asciiTheme="minorEastAsia" w:hAnsiTheme="minorEastAsia"/>
          <w:b/>
          <w:snapToGrid w:val="0"/>
          <w:color w:val="000000"/>
          <w:spacing w:val="-4"/>
          <w:kern w:val="0"/>
          <w:sz w:val="28"/>
          <w:szCs w:val="28"/>
          <w:lang w:val="en-US" w:eastAsia="zh-CN"/>
        </w:rPr>
      </w:pPr>
      <w:bookmarkStart w:id="215" w:name="_Toc778"/>
      <w:r>
        <w:rPr>
          <w:rFonts w:hint="eastAsia" w:cs="宋体" w:asciiTheme="minorEastAsia" w:hAnsiTheme="minorEastAsia"/>
          <w:snapToGrid w:val="0"/>
          <w:color w:val="000000"/>
          <w:spacing w:val="-4"/>
          <w:kern w:val="0"/>
          <w:sz w:val="28"/>
          <w:szCs w:val="28"/>
        </w:rPr>
        <w:t>仿真系统中所有期货及期权品种均可交易。</w:t>
      </w:r>
      <w:bookmarkEnd w:id="215"/>
    </w:p>
    <w:p w14:paraId="68392EC9">
      <w:pPr>
        <w:pStyle w:val="22"/>
        <w:numPr>
          <w:ilvl w:val="0"/>
          <w:numId w:val="2"/>
        </w:numPr>
        <w:spacing w:line="360" w:lineRule="auto"/>
        <w:ind w:firstLineChars="0"/>
        <w:outlineLvl w:val="0"/>
        <w:rPr>
          <w:rFonts w:hint="eastAsia" w:cs="宋体" w:asciiTheme="minorEastAsia" w:hAnsiTheme="minorEastAsia"/>
          <w:b/>
          <w:snapToGrid w:val="0"/>
          <w:color w:val="000000"/>
          <w:spacing w:val="-4"/>
          <w:kern w:val="0"/>
          <w:sz w:val="28"/>
          <w:szCs w:val="28"/>
          <w:lang w:val="en-US" w:eastAsia="zh-CN"/>
        </w:rPr>
      </w:pPr>
      <w:bookmarkStart w:id="216" w:name="_Toc16426"/>
      <w:r>
        <w:rPr>
          <w:rFonts w:hint="eastAsia" w:cs="宋体" w:asciiTheme="minorEastAsia" w:hAnsiTheme="minorEastAsia"/>
          <w:b/>
          <w:snapToGrid w:val="0"/>
          <w:color w:val="000000"/>
          <w:spacing w:val="-4"/>
          <w:kern w:val="0"/>
          <w:sz w:val="28"/>
          <w:szCs w:val="28"/>
        </w:rPr>
        <w:t>仿真账号交易时间是什么</w:t>
      </w:r>
      <w:bookmarkEnd w:id="216"/>
    </w:p>
    <w:p w14:paraId="2786A472">
      <w:pPr>
        <w:pStyle w:val="22"/>
        <w:numPr>
          <w:ilvl w:val="0"/>
          <w:numId w:val="0"/>
        </w:numPr>
        <w:spacing w:line="360" w:lineRule="auto"/>
        <w:ind w:leftChars="0"/>
        <w:outlineLvl w:val="0"/>
        <w:rPr>
          <w:rFonts w:hint="eastAsia" w:cs="宋体" w:asciiTheme="minorEastAsia" w:hAnsiTheme="minorEastAsia"/>
          <w:b/>
          <w:snapToGrid w:val="0"/>
          <w:color w:val="000000"/>
          <w:spacing w:val="-4"/>
          <w:kern w:val="0"/>
          <w:sz w:val="28"/>
          <w:szCs w:val="28"/>
          <w:lang w:val="en-US" w:eastAsia="zh-CN"/>
        </w:rPr>
      </w:pPr>
      <w:bookmarkStart w:id="217" w:name="_Toc12116"/>
      <w:r>
        <w:rPr>
          <w:rFonts w:hint="eastAsia" w:cs="宋体" w:asciiTheme="minorEastAsia" w:hAnsiTheme="minorEastAsia"/>
          <w:snapToGrid w:val="0"/>
          <w:color w:val="000000"/>
          <w:spacing w:val="-4"/>
          <w:kern w:val="0"/>
          <w:sz w:val="28"/>
          <w:szCs w:val="28"/>
        </w:rPr>
        <w:t>仿真系统交易时间为交易日9:00-10:15.10:30-11:30、13:30-15:00，无夜盘交易。</w:t>
      </w:r>
      <w:bookmarkEnd w:id="217"/>
      <w:r>
        <w:rPr>
          <w:rFonts w:hint="eastAsia" w:cs="宋体" w:asciiTheme="minorEastAsia" w:hAnsiTheme="minorEastAsia"/>
          <w:b/>
          <w:snapToGrid w:val="0"/>
          <w:color w:val="000000"/>
          <w:spacing w:val="-4"/>
          <w:kern w:val="0"/>
          <w:sz w:val="28"/>
          <w:szCs w:val="28"/>
          <w:lang w:val="en-US" w:eastAsia="zh-CN"/>
        </w:rPr>
        <w:t xml:space="preserve"> </w:t>
      </w:r>
    </w:p>
    <w:p w14:paraId="2438139C">
      <w:pPr>
        <w:pStyle w:val="22"/>
        <w:numPr>
          <w:ilvl w:val="0"/>
          <w:numId w:val="2"/>
        </w:numPr>
        <w:spacing w:line="360" w:lineRule="auto"/>
        <w:ind w:firstLineChars="0"/>
        <w:outlineLvl w:val="0"/>
        <w:rPr>
          <w:rFonts w:hint="eastAsia" w:cs="宋体" w:asciiTheme="minorEastAsia" w:hAnsiTheme="minorEastAsia"/>
          <w:b/>
          <w:snapToGrid w:val="0"/>
          <w:color w:val="000000"/>
          <w:spacing w:val="-4"/>
          <w:kern w:val="0"/>
          <w:sz w:val="28"/>
          <w:szCs w:val="28"/>
          <w:lang w:val="en-US" w:eastAsia="zh-CN"/>
        </w:rPr>
      </w:pPr>
      <w:bookmarkStart w:id="218" w:name="_Toc9702"/>
      <w:r>
        <w:rPr>
          <w:rFonts w:hint="eastAsia" w:cs="宋体" w:asciiTheme="minorEastAsia" w:hAnsiTheme="minorEastAsia"/>
          <w:b/>
          <w:snapToGrid w:val="0"/>
          <w:color w:val="000000"/>
          <w:spacing w:val="-4"/>
          <w:kern w:val="0"/>
          <w:sz w:val="28"/>
          <w:szCs w:val="28"/>
        </w:rPr>
        <w:t>如何办理销户</w:t>
      </w:r>
      <w:bookmarkEnd w:id="218"/>
    </w:p>
    <w:p w14:paraId="0D51B73D">
      <w:pPr>
        <w:spacing w:line="360" w:lineRule="auto"/>
        <w:rPr>
          <w:rFonts w:cs="宋体" w:asciiTheme="minorEastAsia" w:hAnsiTheme="minorEastAsia"/>
          <w:snapToGrid w:val="0"/>
          <w:color w:val="000000"/>
          <w:spacing w:val="-4"/>
          <w:kern w:val="0"/>
          <w:sz w:val="28"/>
          <w:szCs w:val="28"/>
        </w:rPr>
      </w:pPr>
      <w:r>
        <w:rPr>
          <w:rFonts w:hint="eastAsia" w:cs="宋体" w:asciiTheme="minorEastAsia" w:hAnsiTheme="minorEastAsia"/>
          <w:snapToGrid w:val="0"/>
          <w:color w:val="000000"/>
          <w:spacing w:val="-4"/>
          <w:kern w:val="0"/>
          <w:sz w:val="28"/>
          <w:szCs w:val="28"/>
        </w:rPr>
        <w:t>如遇到客户来电申请销户，可询问客户销户原因。</w:t>
      </w:r>
    </w:p>
    <w:p w14:paraId="4663E94B">
      <w:pPr>
        <w:spacing w:line="360" w:lineRule="auto"/>
        <w:rPr>
          <w:rFonts w:cs="宋体" w:asciiTheme="minorEastAsia" w:hAnsiTheme="minorEastAsia"/>
          <w:snapToGrid w:val="0"/>
          <w:color w:val="000000"/>
          <w:spacing w:val="-4"/>
          <w:kern w:val="0"/>
          <w:sz w:val="28"/>
          <w:szCs w:val="28"/>
        </w:rPr>
      </w:pPr>
      <w:r>
        <w:rPr>
          <w:rFonts w:hint="eastAsia" w:cs="宋体" w:asciiTheme="minorEastAsia" w:hAnsiTheme="minorEastAsia"/>
          <w:snapToGrid w:val="0"/>
          <w:color w:val="000000"/>
          <w:spacing w:val="-4"/>
          <w:kern w:val="0"/>
          <w:sz w:val="28"/>
          <w:szCs w:val="28"/>
        </w:rPr>
        <w:t>销户流程：</w:t>
      </w:r>
    </w:p>
    <w:p w14:paraId="13831C3C">
      <w:pPr>
        <w:spacing w:line="360" w:lineRule="auto"/>
        <w:rPr>
          <w:rFonts w:cs="宋体" w:asciiTheme="minorEastAsia" w:hAnsiTheme="minorEastAsia"/>
          <w:snapToGrid w:val="0"/>
          <w:color w:val="000000"/>
          <w:spacing w:val="-4"/>
          <w:kern w:val="0"/>
          <w:sz w:val="28"/>
          <w:szCs w:val="28"/>
        </w:rPr>
      </w:pPr>
      <w:r>
        <w:rPr>
          <w:rFonts w:hint="eastAsia" w:cs="宋体" w:asciiTheme="minorEastAsia" w:hAnsiTheme="minorEastAsia"/>
          <w:snapToGrid w:val="0"/>
          <w:color w:val="000000"/>
          <w:spacing w:val="-4"/>
          <w:kern w:val="0"/>
          <w:sz w:val="28"/>
          <w:szCs w:val="28"/>
        </w:rPr>
        <w:t>(</w:t>
      </w:r>
      <w:r>
        <w:rPr>
          <w:rFonts w:hint="eastAsia" w:cs="宋体" w:asciiTheme="minorEastAsia" w:hAnsiTheme="minorEastAsia"/>
          <w:snapToGrid w:val="0"/>
          <w:color w:val="000000"/>
          <w:spacing w:val="-4"/>
          <w:kern w:val="0"/>
          <w:sz w:val="28"/>
          <w:szCs w:val="28"/>
          <w:lang w:eastAsia="en-US"/>
        </w:rPr>
        <w:t>1)</w:t>
      </w:r>
      <w:r>
        <w:rPr>
          <w:rFonts w:hint="eastAsia" w:cs="宋体" w:asciiTheme="minorEastAsia" w:hAnsiTheme="minorEastAsia"/>
          <w:snapToGrid w:val="0"/>
          <w:color w:val="000000"/>
          <w:spacing w:val="-4"/>
          <w:kern w:val="0"/>
          <w:sz w:val="28"/>
          <w:szCs w:val="28"/>
        </w:rPr>
        <w:t>期货账户资金清零；</w:t>
      </w:r>
    </w:p>
    <w:p w14:paraId="0A56C021">
      <w:pPr>
        <w:spacing w:line="360" w:lineRule="auto"/>
        <w:rPr>
          <w:rFonts w:cs="宋体" w:asciiTheme="minorEastAsia" w:hAnsiTheme="minorEastAsia"/>
          <w:snapToGrid w:val="0"/>
          <w:color w:val="000000"/>
          <w:spacing w:val="-4"/>
          <w:kern w:val="0"/>
          <w:sz w:val="28"/>
          <w:szCs w:val="28"/>
        </w:rPr>
      </w:pPr>
      <w:r>
        <w:rPr>
          <w:rFonts w:hint="eastAsia" w:cs="宋体" w:asciiTheme="minorEastAsia" w:hAnsiTheme="minorEastAsia"/>
          <w:snapToGrid w:val="0"/>
          <w:color w:val="000000"/>
          <w:spacing w:val="-4"/>
          <w:kern w:val="0"/>
          <w:sz w:val="28"/>
          <w:szCs w:val="28"/>
        </w:rPr>
        <w:t>(2</w:t>
      </w:r>
      <w:r>
        <w:rPr>
          <w:rFonts w:hint="eastAsia" w:cs="宋体" w:asciiTheme="minorEastAsia" w:hAnsiTheme="minorEastAsia"/>
          <w:snapToGrid w:val="0"/>
          <w:color w:val="000000"/>
          <w:spacing w:val="-4"/>
          <w:kern w:val="0"/>
          <w:sz w:val="28"/>
          <w:szCs w:val="28"/>
          <w:lang w:eastAsia="en-US"/>
        </w:rPr>
        <w:t>)</w:t>
      </w:r>
      <w:r>
        <w:rPr>
          <w:rFonts w:hint="eastAsia" w:cs="宋体" w:asciiTheme="minorEastAsia" w:hAnsiTheme="minorEastAsia"/>
          <w:snapToGrid w:val="0"/>
          <w:color w:val="000000"/>
          <w:spacing w:val="-4"/>
          <w:kern w:val="0"/>
          <w:sz w:val="28"/>
          <w:szCs w:val="28"/>
        </w:rPr>
        <w:t>办理银期解约（当日有出金的只能下一个交易日办理解约）；</w:t>
      </w:r>
    </w:p>
    <w:p w14:paraId="0851C701">
      <w:pPr>
        <w:pStyle w:val="22"/>
        <w:numPr>
          <w:ilvl w:val="0"/>
          <w:numId w:val="0"/>
        </w:numPr>
        <w:spacing w:line="360" w:lineRule="auto"/>
        <w:ind w:leftChars="0"/>
        <w:outlineLvl w:val="0"/>
        <w:rPr>
          <w:rFonts w:hint="eastAsia" w:cs="宋体" w:asciiTheme="minorEastAsia" w:hAnsiTheme="minorEastAsia"/>
          <w:b/>
          <w:snapToGrid w:val="0"/>
          <w:color w:val="000000"/>
          <w:spacing w:val="-4"/>
          <w:kern w:val="0"/>
          <w:sz w:val="28"/>
          <w:szCs w:val="28"/>
          <w:lang w:val="en-US" w:eastAsia="zh-CN"/>
        </w:rPr>
      </w:pPr>
      <w:bookmarkStart w:id="219" w:name="_Toc3820"/>
      <w:r>
        <w:rPr>
          <w:rFonts w:hint="eastAsia" w:cs="宋体" w:asciiTheme="minorEastAsia" w:hAnsiTheme="minorEastAsia"/>
          <w:snapToGrid w:val="0"/>
          <w:color w:val="000000"/>
          <w:spacing w:val="-4"/>
          <w:kern w:val="0"/>
          <w:sz w:val="28"/>
          <w:szCs w:val="28"/>
        </w:rPr>
        <w:t>(3</w:t>
      </w:r>
      <w:r>
        <w:rPr>
          <w:rFonts w:hint="eastAsia" w:cs="宋体" w:asciiTheme="minorEastAsia" w:hAnsiTheme="minorEastAsia"/>
          <w:snapToGrid w:val="0"/>
          <w:color w:val="000000"/>
          <w:spacing w:val="-4"/>
          <w:kern w:val="0"/>
          <w:sz w:val="28"/>
          <w:szCs w:val="28"/>
          <w:lang w:eastAsia="en-US"/>
        </w:rPr>
        <w:t>)</w:t>
      </w:r>
      <w:r>
        <w:rPr>
          <w:rFonts w:hint="eastAsia" w:cs="宋体" w:asciiTheme="minorEastAsia" w:hAnsiTheme="minorEastAsia"/>
          <w:snapToGrid w:val="0"/>
          <w:color w:val="000000"/>
          <w:spacing w:val="-4"/>
          <w:kern w:val="0"/>
          <w:sz w:val="28"/>
          <w:szCs w:val="28"/>
        </w:rPr>
        <w:t>填写销户申请表并邮寄至我司。我司将于收到客户的销户协议后尽快审核并办理。</w:t>
      </w:r>
      <w:bookmarkEnd w:id="219"/>
    </w:p>
    <w:p w14:paraId="60F7F205">
      <w:pPr>
        <w:pStyle w:val="22"/>
        <w:numPr>
          <w:ilvl w:val="0"/>
          <w:numId w:val="2"/>
        </w:numPr>
        <w:spacing w:line="360" w:lineRule="auto"/>
        <w:ind w:firstLineChars="0"/>
        <w:outlineLvl w:val="0"/>
        <w:rPr>
          <w:rFonts w:hint="eastAsia" w:cs="宋体" w:asciiTheme="minorEastAsia" w:hAnsiTheme="minorEastAsia"/>
          <w:b/>
          <w:snapToGrid w:val="0"/>
          <w:color w:val="000000"/>
          <w:spacing w:val="-4"/>
          <w:kern w:val="0"/>
          <w:sz w:val="28"/>
          <w:szCs w:val="28"/>
          <w:lang w:val="en-US" w:eastAsia="zh-CN"/>
        </w:rPr>
      </w:pPr>
      <w:bookmarkStart w:id="220" w:name="_Toc25305"/>
      <w:r>
        <w:rPr>
          <w:rFonts w:hint="eastAsia" w:cs="宋体" w:asciiTheme="minorEastAsia" w:hAnsiTheme="minorEastAsia"/>
          <w:b/>
          <w:snapToGrid w:val="0"/>
          <w:color w:val="000000"/>
          <w:spacing w:val="-4"/>
          <w:kern w:val="0"/>
          <w:sz w:val="28"/>
          <w:szCs w:val="28"/>
        </w:rPr>
        <w:t>如何线上办理销户</w:t>
      </w:r>
      <w:bookmarkEnd w:id="220"/>
      <w:r>
        <w:rPr>
          <w:rFonts w:hint="eastAsia" w:cs="宋体" w:asciiTheme="minorEastAsia" w:hAnsiTheme="minorEastAsia"/>
          <w:b/>
          <w:snapToGrid w:val="0"/>
          <w:color w:val="000000"/>
          <w:spacing w:val="-4"/>
          <w:kern w:val="0"/>
          <w:sz w:val="28"/>
          <w:szCs w:val="28"/>
          <w:lang w:val="en-US" w:eastAsia="zh-CN"/>
        </w:rPr>
        <w:t xml:space="preserve"> </w:t>
      </w:r>
    </w:p>
    <w:p w14:paraId="64A9E7F8">
      <w:pPr>
        <w:pStyle w:val="22"/>
        <w:numPr>
          <w:ilvl w:val="0"/>
          <w:numId w:val="0"/>
        </w:numPr>
        <w:spacing w:line="360" w:lineRule="auto"/>
        <w:ind w:leftChars="0"/>
        <w:outlineLvl w:val="0"/>
        <w:rPr>
          <w:rFonts w:hint="eastAsia" w:cs="宋体" w:asciiTheme="minorEastAsia" w:hAnsiTheme="minorEastAsia"/>
          <w:b/>
          <w:snapToGrid w:val="0"/>
          <w:color w:val="000000"/>
          <w:spacing w:val="-4"/>
          <w:kern w:val="0"/>
          <w:sz w:val="28"/>
          <w:szCs w:val="28"/>
          <w:lang w:val="en-US" w:eastAsia="zh-CN"/>
        </w:rPr>
      </w:pPr>
      <w:bookmarkStart w:id="221" w:name="_Toc6794"/>
      <w:r>
        <w:rPr>
          <w:rFonts w:hint="eastAsia" w:cs="宋体" w:asciiTheme="minorEastAsia" w:hAnsiTheme="minorEastAsia"/>
          <w:snapToGrid w:val="0"/>
          <w:color w:val="000000"/>
          <w:spacing w:val="-4"/>
          <w:kern w:val="0"/>
          <w:sz w:val="28"/>
          <w:szCs w:val="28"/>
        </w:rPr>
        <w:t>目前我司暂不支持线上销户业务。</w:t>
      </w:r>
      <w:bookmarkEnd w:id="221"/>
    </w:p>
    <w:p w14:paraId="74A7E03B">
      <w:pPr>
        <w:spacing w:line="360" w:lineRule="auto"/>
        <w:jc w:val="both"/>
        <w:rPr>
          <w:rFonts w:cs="宋体" w:asciiTheme="minorEastAsia" w:hAnsiTheme="minorEastAsia"/>
          <w:snapToGrid w:val="0"/>
          <w:color w:val="000000"/>
          <w:spacing w:val="4"/>
          <w:kern w:val="0"/>
          <w:sz w:val="35"/>
          <w:szCs w:val="35"/>
          <w14:textOutline w14:w="6540" w14:cap="sq" w14:cmpd="sng" w14:algn="ctr">
            <w14:solidFill>
              <w14:srgbClr w14:val="000000"/>
            </w14:solidFill>
            <w14:prstDash w14:val="solid"/>
            <w14:bevel/>
          </w14:textOutline>
        </w:rPr>
      </w:pPr>
    </w:p>
    <w:p w14:paraId="6C884D75">
      <w:pPr>
        <w:spacing w:line="360" w:lineRule="auto"/>
        <w:jc w:val="both"/>
        <w:outlineLvl w:val="0"/>
        <w:rPr>
          <w:rFonts w:cs="宋体" w:asciiTheme="minorEastAsia" w:hAnsiTheme="minorEastAsia"/>
          <w:snapToGrid w:val="0"/>
          <w:color w:val="000000"/>
          <w:spacing w:val="4"/>
          <w:kern w:val="0"/>
          <w:sz w:val="35"/>
          <w:szCs w:val="35"/>
          <w14:textOutline w14:w="6540" w14:cap="sq" w14:cmpd="sng" w14:algn="ctr">
            <w14:solidFill>
              <w14:srgbClr w14:val="000000"/>
            </w14:solidFill>
            <w14:prstDash w14:val="solid"/>
            <w14:bevel/>
          </w14:textOutline>
        </w:rPr>
      </w:pPr>
      <w:bookmarkStart w:id="222" w:name="_Toc142640334"/>
      <w:bookmarkStart w:id="223" w:name="_Toc11305"/>
      <w:bookmarkStart w:id="224" w:name="_Toc29478"/>
      <w:bookmarkStart w:id="225" w:name="_Toc30654"/>
      <w:r>
        <w:rPr>
          <w:rFonts w:hint="eastAsia" w:cs="宋体" w:asciiTheme="minorEastAsia" w:hAnsiTheme="minorEastAsia"/>
          <w:snapToGrid w:val="0"/>
          <w:color w:val="000000"/>
          <w:spacing w:val="4"/>
          <w:kern w:val="0"/>
          <w:sz w:val="35"/>
          <w:szCs w:val="35"/>
          <w:lang w:val="en-US" w:eastAsia="zh-CN"/>
          <w14:textOutline w14:w="6540" w14:cap="sq" w14:cmpd="sng" w14:algn="ctr">
            <w14:solidFill>
              <w14:srgbClr w14:val="000000"/>
            </w14:solidFill>
            <w14:prstDash w14:val="solid"/>
            <w14:bevel/>
          </w14:textOutline>
        </w:rPr>
        <w:t>三、</w:t>
      </w:r>
      <w:r>
        <w:rPr>
          <w:rFonts w:hint="eastAsia" w:cs="宋体" w:asciiTheme="minorEastAsia" w:hAnsiTheme="minorEastAsia"/>
          <w:snapToGrid w:val="0"/>
          <w:color w:val="000000"/>
          <w:spacing w:val="4"/>
          <w:kern w:val="0"/>
          <w:sz w:val="35"/>
          <w:szCs w:val="35"/>
          <w14:textOutline w14:w="6540" w14:cap="sq" w14:cmpd="sng" w14:algn="ctr">
            <w14:solidFill>
              <w14:srgbClr w14:val="000000"/>
            </w14:solidFill>
            <w14:prstDash w14:val="solid"/>
            <w14:bevel/>
          </w14:textOutline>
        </w:rPr>
        <w:t>交易相关问题</w:t>
      </w:r>
      <w:bookmarkEnd w:id="222"/>
      <w:bookmarkEnd w:id="223"/>
      <w:bookmarkEnd w:id="224"/>
      <w:bookmarkEnd w:id="225"/>
    </w:p>
    <w:p w14:paraId="7CA5902F">
      <w:pPr>
        <w:spacing w:line="360" w:lineRule="auto"/>
        <w:outlineLvl w:val="0"/>
        <w:rPr>
          <w:rFonts w:cs="宋体" w:asciiTheme="minorEastAsia" w:hAnsiTheme="minorEastAsia"/>
          <w:b/>
          <w:snapToGrid w:val="0"/>
          <w:color w:val="000000"/>
          <w:spacing w:val="-4"/>
          <w:kern w:val="0"/>
          <w:sz w:val="28"/>
          <w:szCs w:val="28"/>
        </w:rPr>
      </w:pPr>
      <w:bookmarkStart w:id="226" w:name="_Toc17558"/>
      <w:bookmarkStart w:id="227" w:name="_Toc142640335"/>
      <w:bookmarkStart w:id="228" w:name="_Toc14139"/>
      <w:bookmarkStart w:id="229" w:name="_Toc4126"/>
      <w:r>
        <w:rPr>
          <w:rFonts w:hint="eastAsia" w:cs="宋体" w:asciiTheme="minorEastAsia" w:hAnsiTheme="minorEastAsia"/>
          <w:b/>
          <w:snapToGrid w:val="0"/>
          <w:color w:val="000000"/>
          <w:spacing w:val="-4"/>
          <w:kern w:val="0"/>
          <w:sz w:val="28"/>
          <w:szCs w:val="28"/>
        </w:rPr>
        <w:t>1.锁仓定义</w:t>
      </w:r>
      <w:bookmarkEnd w:id="226"/>
      <w:bookmarkEnd w:id="227"/>
      <w:bookmarkEnd w:id="228"/>
      <w:bookmarkEnd w:id="229"/>
    </w:p>
    <w:p w14:paraId="5C2B8DEB">
      <w:pPr>
        <w:spacing w:line="360" w:lineRule="auto"/>
        <w:rPr>
          <w:rFonts w:cs="宋体" w:asciiTheme="minorEastAsia" w:hAnsiTheme="minorEastAsia"/>
          <w:snapToGrid w:val="0"/>
          <w:color w:val="000000"/>
          <w:spacing w:val="-4"/>
          <w:kern w:val="0"/>
          <w:sz w:val="28"/>
          <w:szCs w:val="28"/>
        </w:rPr>
      </w:pPr>
      <w:r>
        <w:rPr>
          <w:rFonts w:hint="eastAsia" w:cs="宋体" w:asciiTheme="minorEastAsia" w:hAnsiTheme="minorEastAsia"/>
          <w:snapToGrid w:val="0"/>
          <w:color w:val="000000"/>
          <w:spacing w:val="-4"/>
          <w:kern w:val="0"/>
          <w:sz w:val="28"/>
          <w:szCs w:val="28"/>
        </w:rPr>
        <w:t>锁仓一般是指投资者在下单交易后，市场行情出现对自己的持仓有风险或有隐形风险时，开立与原先持仓相反的新仓，即持有多空两笔合约，以便不管价格向何方运动均不会使持仓盈亏再增减的一种操作方法。它主要解决的是盘中对后市不可预知的情况下，使手中的持</w:t>
      </w:r>
    </w:p>
    <w:p w14:paraId="13893C7A">
      <w:pPr>
        <w:spacing w:line="360" w:lineRule="auto"/>
        <w:rPr>
          <w:rFonts w:cs="宋体" w:asciiTheme="minorEastAsia" w:hAnsiTheme="minorEastAsia"/>
          <w:snapToGrid w:val="0"/>
          <w:color w:val="000000"/>
          <w:spacing w:val="-4"/>
          <w:kern w:val="0"/>
          <w:sz w:val="28"/>
          <w:szCs w:val="28"/>
        </w:rPr>
      </w:pPr>
      <w:r>
        <w:rPr>
          <w:rFonts w:hint="eastAsia" w:cs="宋体" w:asciiTheme="minorEastAsia" w:hAnsiTheme="minorEastAsia"/>
          <w:snapToGrid w:val="0"/>
          <w:color w:val="000000"/>
          <w:spacing w:val="-4"/>
          <w:kern w:val="0"/>
          <w:sz w:val="28"/>
          <w:szCs w:val="28"/>
        </w:rPr>
        <w:t>仓处于最佳位置，降低风险。</w:t>
      </w:r>
    </w:p>
    <w:p w14:paraId="24ED1F8B">
      <w:pPr>
        <w:spacing w:line="360" w:lineRule="auto"/>
        <w:outlineLvl w:val="0"/>
        <w:rPr>
          <w:rFonts w:cs="宋体" w:asciiTheme="minorEastAsia" w:hAnsiTheme="minorEastAsia"/>
          <w:b/>
          <w:snapToGrid w:val="0"/>
          <w:color w:val="000000"/>
          <w:spacing w:val="-4"/>
          <w:kern w:val="0"/>
          <w:sz w:val="28"/>
          <w:szCs w:val="28"/>
        </w:rPr>
      </w:pPr>
      <w:bookmarkStart w:id="230" w:name="_Toc11852"/>
      <w:bookmarkStart w:id="231" w:name="_Toc1965"/>
      <w:bookmarkStart w:id="232" w:name="_Toc22965"/>
      <w:bookmarkStart w:id="233" w:name="_Toc142640336"/>
      <w:r>
        <w:rPr>
          <w:rFonts w:hint="eastAsia" w:cs="宋体" w:asciiTheme="minorEastAsia" w:hAnsiTheme="minorEastAsia"/>
          <w:b/>
          <w:snapToGrid w:val="0"/>
          <w:color w:val="000000"/>
          <w:spacing w:val="-4"/>
          <w:kern w:val="0"/>
          <w:sz w:val="28"/>
          <w:szCs w:val="28"/>
        </w:rPr>
        <w:t>2.反手定义</w:t>
      </w:r>
      <w:bookmarkEnd w:id="230"/>
      <w:bookmarkEnd w:id="231"/>
      <w:bookmarkEnd w:id="232"/>
      <w:bookmarkEnd w:id="233"/>
    </w:p>
    <w:p w14:paraId="47798308">
      <w:pPr>
        <w:spacing w:line="360" w:lineRule="auto"/>
        <w:rPr>
          <w:rFonts w:cs="宋体" w:asciiTheme="minorEastAsia" w:hAnsiTheme="minorEastAsia"/>
          <w:snapToGrid w:val="0"/>
          <w:color w:val="000000"/>
          <w:spacing w:val="-4"/>
          <w:kern w:val="0"/>
          <w:sz w:val="28"/>
          <w:szCs w:val="28"/>
        </w:rPr>
      </w:pPr>
      <w:r>
        <w:rPr>
          <w:rFonts w:hint="eastAsia" w:cs="宋体" w:asciiTheme="minorEastAsia" w:hAnsiTheme="minorEastAsia"/>
          <w:snapToGrid w:val="0"/>
          <w:color w:val="000000"/>
          <w:spacing w:val="-4"/>
          <w:kern w:val="0"/>
          <w:sz w:val="28"/>
          <w:szCs w:val="28"/>
        </w:rPr>
        <w:t>反手是指将选中持仓合约平仓的同时，建立方向相反且数量相等的仓位。当期货行情走势与投资者预期以及开仓方向相反，不利于投资者的时候，通常会选择“反手”。</w:t>
      </w:r>
    </w:p>
    <w:p w14:paraId="3EA5B56F">
      <w:pPr>
        <w:spacing w:line="360" w:lineRule="auto"/>
        <w:outlineLvl w:val="0"/>
        <w:rPr>
          <w:rFonts w:cs="宋体" w:asciiTheme="minorEastAsia" w:hAnsiTheme="minorEastAsia"/>
          <w:b/>
          <w:snapToGrid w:val="0"/>
          <w:color w:val="000000"/>
          <w:spacing w:val="-4"/>
          <w:kern w:val="0"/>
          <w:sz w:val="28"/>
          <w:szCs w:val="28"/>
        </w:rPr>
      </w:pPr>
      <w:bookmarkStart w:id="234" w:name="_Toc27911"/>
      <w:bookmarkStart w:id="235" w:name="_Toc9088"/>
      <w:bookmarkStart w:id="236" w:name="_Toc142640337"/>
      <w:bookmarkStart w:id="237" w:name="_Toc25796"/>
      <w:r>
        <w:rPr>
          <w:rFonts w:hint="eastAsia" w:cs="宋体" w:asciiTheme="minorEastAsia" w:hAnsiTheme="minorEastAsia"/>
          <w:b/>
          <w:snapToGrid w:val="0"/>
          <w:color w:val="000000"/>
          <w:spacing w:val="-4"/>
          <w:kern w:val="0"/>
          <w:sz w:val="28"/>
          <w:szCs w:val="28"/>
        </w:rPr>
        <w:t>3.昨结定义</w:t>
      </w:r>
      <w:bookmarkEnd w:id="234"/>
      <w:bookmarkEnd w:id="235"/>
      <w:bookmarkEnd w:id="236"/>
      <w:bookmarkEnd w:id="237"/>
    </w:p>
    <w:p w14:paraId="4A8E3485">
      <w:pPr>
        <w:spacing w:line="360" w:lineRule="auto"/>
        <w:rPr>
          <w:rFonts w:cs="宋体" w:asciiTheme="minorEastAsia" w:hAnsiTheme="minorEastAsia"/>
          <w:snapToGrid w:val="0"/>
          <w:color w:val="000000"/>
          <w:spacing w:val="-4"/>
          <w:kern w:val="0"/>
          <w:sz w:val="28"/>
          <w:szCs w:val="28"/>
        </w:rPr>
      </w:pPr>
      <w:r>
        <w:rPr>
          <w:rFonts w:hint="eastAsia" w:cs="宋体" w:asciiTheme="minorEastAsia" w:hAnsiTheme="minorEastAsia"/>
          <w:snapToGrid w:val="0"/>
          <w:color w:val="000000"/>
          <w:spacing w:val="-4"/>
          <w:kern w:val="0"/>
          <w:sz w:val="28"/>
          <w:szCs w:val="28"/>
        </w:rPr>
        <w:t>昨结即昨日结算价，商品期货的结算价为当日的成交价格按照成</w:t>
      </w:r>
    </w:p>
    <w:p w14:paraId="59A546B4">
      <w:pPr>
        <w:spacing w:line="360" w:lineRule="auto"/>
        <w:rPr>
          <w:rFonts w:cs="宋体" w:asciiTheme="minorEastAsia" w:hAnsiTheme="minorEastAsia"/>
          <w:snapToGrid w:val="0"/>
          <w:color w:val="000000"/>
          <w:spacing w:val="-4"/>
          <w:kern w:val="0"/>
          <w:sz w:val="28"/>
          <w:szCs w:val="28"/>
        </w:rPr>
      </w:pPr>
      <w:r>
        <w:rPr>
          <w:rFonts w:hint="eastAsia" w:cs="宋体" w:asciiTheme="minorEastAsia" w:hAnsiTheme="minorEastAsia"/>
          <w:snapToGrid w:val="0"/>
          <w:color w:val="000000"/>
          <w:spacing w:val="-4"/>
          <w:kern w:val="0"/>
          <w:sz w:val="28"/>
          <w:szCs w:val="28"/>
        </w:rPr>
        <w:t>交量的加权平均价。（昨收为昨日最后一笔的成交价）</w:t>
      </w:r>
    </w:p>
    <w:p w14:paraId="4467FB1B">
      <w:pPr>
        <w:spacing w:line="360" w:lineRule="auto"/>
        <w:rPr>
          <w:rFonts w:cs="宋体" w:asciiTheme="minorEastAsia" w:hAnsiTheme="minorEastAsia"/>
          <w:snapToGrid w:val="0"/>
          <w:color w:val="000000"/>
          <w:spacing w:val="-4"/>
          <w:kern w:val="0"/>
          <w:sz w:val="28"/>
          <w:szCs w:val="28"/>
        </w:rPr>
      </w:pPr>
      <w:r>
        <w:rPr>
          <w:rFonts w:hint="eastAsia" w:cs="宋体" w:asciiTheme="minorEastAsia" w:hAnsiTheme="minorEastAsia"/>
          <w:snapToGrid w:val="0"/>
          <w:color w:val="000000"/>
          <w:spacing w:val="-4"/>
          <w:kern w:val="0"/>
          <w:sz w:val="28"/>
          <w:szCs w:val="28"/>
        </w:rPr>
        <w:t>股指期货的结算价为当日最后一小时的成交价格按照成交量的</w:t>
      </w:r>
    </w:p>
    <w:p w14:paraId="5360393E">
      <w:pPr>
        <w:spacing w:line="360" w:lineRule="auto"/>
        <w:rPr>
          <w:rFonts w:cs="宋体" w:asciiTheme="minorEastAsia" w:hAnsiTheme="minorEastAsia"/>
          <w:snapToGrid w:val="0"/>
          <w:color w:val="000000"/>
          <w:spacing w:val="-4"/>
          <w:kern w:val="0"/>
          <w:sz w:val="28"/>
          <w:szCs w:val="28"/>
        </w:rPr>
      </w:pPr>
      <w:r>
        <w:rPr>
          <w:rFonts w:hint="eastAsia" w:cs="宋体" w:asciiTheme="minorEastAsia" w:hAnsiTheme="minorEastAsia"/>
          <w:snapToGrid w:val="0"/>
          <w:color w:val="000000"/>
          <w:spacing w:val="-4"/>
          <w:kern w:val="0"/>
          <w:sz w:val="28"/>
          <w:szCs w:val="28"/>
        </w:rPr>
        <w:t>加权平均价。</w:t>
      </w:r>
    </w:p>
    <w:p w14:paraId="25AF8DCC">
      <w:pPr>
        <w:spacing w:line="360" w:lineRule="auto"/>
        <w:outlineLvl w:val="0"/>
        <w:rPr>
          <w:rFonts w:cs="宋体" w:asciiTheme="minorEastAsia" w:hAnsiTheme="minorEastAsia"/>
          <w:b/>
          <w:snapToGrid w:val="0"/>
          <w:color w:val="000000"/>
          <w:spacing w:val="-4"/>
          <w:kern w:val="0"/>
          <w:sz w:val="28"/>
          <w:szCs w:val="28"/>
        </w:rPr>
      </w:pPr>
      <w:bookmarkStart w:id="238" w:name="_Toc32157"/>
      <w:bookmarkStart w:id="239" w:name="_Toc32130"/>
      <w:bookmarkStart w:id="240" w:name="_Toc142640338"/>
      <w:bookmarkStart w:id="241" w:name="_Toc28310"/>
      <w:r>
        <w:rPr>
          <w:rFonts w:hint="eastAsia" w:cs="宋体" w:asciiTheme="minorEastAsia" w:hAnsiTheme="minorEastAsia"/>
          <w:b/>
          <w:snapToGrid w:val="0"/>
          <w:color w:val="000000"/>
          <w:spacing w:val="-4"/>
          <w:kern w:val="0"/>
          <w:sz w:val="28"/>
          <w:szCs w:val="28"/>
        </w:rPr>
        <w:t>4.成交额定义</w:t>
      </w:r>
      <w:bookmarkEnd w:id="238"/>
      <w:bookmarkEnd w:id="239"/>
      <w:bookmarkEnd w:id="240"/>
      <w:bookmarkEnd w:id="241"/>
    </w:p>
    <w:p w14:paraId="0B9884AE">
      <w:pPr>
        <w:spacing w:line="360" w:lineRule="auto"/>
        <w:rPr>
          <w:rFonts w:cs="宋体" w:asciiTheme="minorEastAsia" w:hAnsiTheme="minorEastAsia"/>
          <w:snapToGrid w:val="0"/>
          <w:color w:val="000000"/>
          <w:spacing w:val="-4"/>
          <w:kern w:val="0"/>
          <w:sz w:val="28"/>
          <w:szCs w:val="28"/>
        </w:rPr>
      </w:pPr>
      <w:r>
        <w:rPr>
          <w:rFonts w:hint="eastAsia" w:cs="宋体" w:asciiTheme="minorEastAsia" w:hAnsiTheme="minorEastAsia"/>
          <w:snapToGrid w:val="0"/>
          <w:color w:val="000000"/>
          <w:spacing w:val="-4"/>
          <w:kern w:val="0"/>
          <w:sz w:val="28"/>
          <w:szCs w:val="28"/>
        </w:rPr>
        <w:t>成交额=Σ（分笔成交量*交易单位*分笔成交价格）。</w:t>
      </w:r>
    </w:p>
    <w:p w14:paraId="580EA9A0">
      <w:pPr>
        <w:spacing w:line="360" w:lineRule="auto"/>
        <w:outlineLvl w:val="0"/>
        <w:rPr>
          <w:rFonts w:cs="宋体" w:asciiTheme="minorEastAsia" w:hAnsiTheme="minorEastAsia"/>
          <w:b/>
          <w:snapToGrid w:val="0"/>
          <w:color w:val="000000"/>
          <w:spacing w:val="-4"/>
          <w:kern w:val="0"/>
          <w:sz w:val="28"/>
          <w:szCs w:val="28"/>
        </w:rPr>
      </w:pPr>
      <w:bookmarkStart w:id="242" w:name="_Toc1855"/>
      <w:bookmarkStart w:id="243" w:name="_Toc29704"/>
      <w:bookmarkStart w:id="244" w:name="_Toc31242"/>
      <w:bookmarkStart w:id="245" w:name="_Toc142640339"/>
      <w:r>
        <w:rPr>
          <w:rFonts w:hint="eastAsia" w:cs="宋体" w:asciiTheme="minorEastAsia" w:hAnsiTheme="minorEastAsia"/>
          <w:b/>
          <w:snapToGrid w:val="0"/>
          <w:color w:val="000000"/>
          <w:spacing w:val="-4"/>
          <w:kern w:val="0"/>
          <w:sz w:val="28"/>
          <w:szCs w:val="28"/>
        </w:rPr>
        <w:t>5.成交量定义</w:t>
      </w:r>
      <w:bookmarkEnd w:id="242"/>
      <w:bookmarkEnd w:id="243"/>
      <w:bookmarkEnd w:id="244"/>
      <w:bookmarkEnd w:id="245"/>
    </w:p>
    <w:p w14:paraId="15522BAA">
      <w:pPr>
        <w:spacing w:line="360" w:lineRule="auto"/>
        <w:rPr>
          <w:rFonts w:cs="宋体" w:asciiTheme="minorEastAsia" w:hAnsiTheme="minorEastAsia"/>
          <w:snapToGrid w:val="0"/>
          <w:color w:val="000000"/>
          <w:spacing w:val="-4"/>
          <w:kern w:val="0"/>
          <w:sz w:val="28"/>
          <w:szCs w:val="28"/>
        </w:rPr>
      </w:pPr>
      <w:r>
        <w:rPr>
          <w:rFonts w:hint="eastAsia" w:cs="宋体" w:asciiTheme="minorEastAsia" w:hAnsiTheme="minorEastAsia"/>
          <w:snapToGrid w:val="0"/>
          <w:color w:val="000000"/>
          <w:spacing w:val="-4"/>
          <w:kern w:val="0"/>
          <w:sz w:val="28"/>
          <w:szCs w:val="28"/>
        </w:rPr>
        <w:t>成交量指当前交易日内该合约成交的单边数量。</w:t>
      </w:r>
    </w:p>
    <w:p w14:paraId="51A2DE98">
      <w:pPr>
        <w:spacing w:line="360" w:lineRule="auto"/>
        <w:outlineLvl w:val="0"/>
        <w:rPr>
          <w:rFonts w:cs="宋体" w:asciiTheme="minorEastAsia" w:hAnsiTheme="minorEastAsia"/>
          <w:b/>
          <w:snapToGrid w:val="0"/>
          <w:color w:val="000000"/>
          <w:spacing w:val="-4"/>
          <w:kern w:val="0"/>
          <w:sz w:val="28"/>
          <w:szCs w:val="28"/>
        </w:rPr>
      </w:pPr>
      <w:bookmarkStart w:id="246" w:name="_Toc10011"/>
      <w:bookmarkStart w:id="247" w:name="_Toc10373"/>
      <w:bookmarkStart w:id="248" w:name="_Toc142640340"/>
      <w:bookmarkStart w:id="249" w:name="_Toc32415"/>
      <w:r>
        <w:rPr>
          <w:rFonts w:hint="eastAsia" w:cs="宋体" w:asciiTheme="minorEastAsia" w:hAnsiTheme="minorEastAsia"/>
          <w:b/>
          <w:snapToGrid w:val="0"/>
          <w:color w:val="000000"/>
          <w:spacing w:val="-4"/>
          <w:kern w:val="0"/>
          <w:sz w:val="28"/>
          <w:szCs w:val="28"/>
        </w:rPr>
        <w:t>6.持仓量定义</w:t>
      </w:r>
      <w:bookmarkEnd w:id="246"/>
      <w:bookmarkEnd w:id="247"/>
      <w:bookmarkEnd w:id="248"/>
      <w:bookmarkEnd w:id="249"/>
    </w:p>
    <w:p w14:paraId="32957378">
      <w:pPr>
        <w:spacing w:line="360" w:lineRule="auto"/>
        <w:rPr>
          <w:rFonts w:cs="宋体" w:asciiTheme="minorEastAsia" w:hAnsiTheme="minorEastAsia"/>
          <w:snapToGrid w:val="0"/>
          <w:color w:val="000000"/>
          <w:spacing w:val="-4"/>
          <w:kern w:val="0"/>
          <w:sz w:val="28"/>
          <w:szCs w:val="28"/>
        </w:rPr>
      </w:pPr>
      <w:r>
        <w:rPr>
          <w:rFonts w:hint="eastAsia" w:cs="宋体" w:asciiTheme="minorEastAsia" w:hAnsiTheme="minorEastAsia"/>
          <w:snapToGrid w:val="0"/>
          <w:color w:val="000000"/>
          <w:spacing w:val="-4"/>
          <w:kern w:val="0"/>
          <w:sz w:val="28"/>
          <w:szCs w:val="28"/>
        </w:rPr>
        <w:t>持仓量指投资者持有的某个合约的单边未平仓合约总量。</w:t>
      </w:r>
    </w:p>
    <w:p w14:paraId="49DC72B0">
      <w:pPr>
        <w:spacing w:line="360" w:lineRule="auto"/>
        <w:outlineLvl w:val="0"/>
        <w:rPr>
          <w:rFonts w:cs="宋体" w:asciiTheme="minorEastAsia" w:hAnsiTheme="minorEastAsia"/>
          <w:b/>
          <w:snapToGrid w:val="0"/>
          <w:color w:val="000000"/>
          <w:spacing w:val="-4"/>
          <w:kern w:val="0"/>
          <w:sz w:val="28"/>
          <w:szCs w:val="28"/>
        </w:rPr>
      </w:pPr>
      <w:bookmarkStart w:id="250" w:name="_Toc17196"/>
      <w:bookmarkStart w:id="251" w:name="_Toc142640341"/>
      <w:bookmarkStart w:id="252" w:name="_Toc21253"/>
      <w:bookmarkStart w:id="253" w:name="_Toc22278"/>
      <w:r>
        <w:rPr>
          <w:rFonts w:hint="eastAsia" w:cs="宋体" w:asciiTheme="minorEastAsia" w:hAnsiTheme="minorEastAsia"/>
          <w:b/>
          <w:snapToGrid w:val="0"/>
          <w:color w:val="000000"/>
          <w:spacing w:val="-4"/>
          <w:kern w:val="0"/>
          <w:sz w:val="28"/>
          <w:szCs w:val="28"/>
        </w:rPr>
        <w:t>7.资金使用率定义</w:t>
      </w:r>
      <w:bookmarkEnd w:id="250"/>
      <w:bookmarkEnd w:id="251"/>
      <w:bookmarkEnd w:id="252"/>
      <w:bookmarkEnd w:id="253"/>
    </w:p>
    <w:p w14:paraId="79EBA4B2">
      <w:pPr>
        <w:spacing w:line="360" w:lineRule="auto"/>
        <w:rPr>
          <w:rFonts w:cs="宋体" w:asciiTheme="minorEastAsia" w:hAnsiTheme="minorEastAsia"/>
          <w:snapToGrid w:val="0"/>
          <w:color w:val="000000"/>
          <w:spacing w:val="-4"/>
          <w:kern w:val="0"/>
          <w:sz w:val="28"/>
          <w:szCs w:val="28"/>
        </w:rPr>
      </w:pPr>
      <w:r>
        <w:rPr>
          <w:rFonts w:hint="eastAsia" w:cs="宋体" w:asciiTheme="minorEastAsia" w:hAnsiTheme="minorEastAsia"/>
          <w:snapToGrid w:val="0"/>
          <w:color w:val="000000"/>
          <w:spacing w:val="-4"/>
          <w:kern w:val="0"/>
          <w:sz w:val="28"/>
          <w:szCs w:val="28"/>
        </w:rPr>
        <w:t>资金使用率=（持仓保证金+委托保证金）/当前权益*100%。</w:t>
      </w:r>
    </w:p>
    <w:p w14:paraId="131F16D1">
      <w:pPr>
        <w:spacing w:line="360" w:lineRule="auto"/>
        <w:outlineLvl w:val="0"/>
        <w:rPr>
          <w:rFonts w:cs="宋体" w:asciiTheme="minorEastAsia" w:hAnsiTheme="minorEastAsia"/>
          <w:b/>
          <w:snapToGrid w:val="0"/>
          <w:color w:val="000000"/>
          <w:spacing w:val="-4"/>
          <w:kern w:val="0"/>
          <w:sz w:val="28"/>
          <w:szCs w:val="28"/>
        </w:rPr>
      </w:pPr>
      <w:bookmarkStart w:id="254" w:name="_Toc30797"/>
      <w:bookmarkStart w:id="255" w:name="_Toc142640342"/>
      <w:bookmarkStart w:id="256" w:name="_Toc9788"/>
      <w:bookmarkStart w:id="257" w:name="_Toc23882"/>
      <w:r>
        <w:rPr>
          <w:rFonts w:hint="eastAsia" w:cs="宋体" w:asciiTheme="minorEastAsia" w:hAnsiTheme="minorEastAsia"/>
          <w:b/>
          <w:snapToGrid w:val="0"/>
          <w:color w:val="000000"/>
          <w:spacing w:val="-4"/>
          <w:kern w:val="0"/>
          <w:sz w:val="28"/>
          <w:szCs w:val="28"/>
        </w:rPr>
        <w:t>8.问:内盘外盘定义</w:t>
      </w:r>
      <w:bookmarkEnd w:id="254"/>
      <w:bookmarkEnd w:id="255"/>
      <w:bookmarkEnd w:id="256"/>
      <w:bookmarkEnd w:id="257"/>
    </w:p>
    <w:p w14:paraId="08F0348C">
      <w:pPr>
        <w:spacing w:line="360" w:lineRule="auto"/>
        <w:rPr>
          <w:rFonts w:cs="宋体" w:asciiTheme="minorEastAsia" w:hAnsiTheme="minorEastAsia"/>
          <w:snapToGrid w:val="0"/>
          <w:color w:val="000000"/>
          <w:spacing w:val="-4"/>
          <w:kern w:val="0"/>
          <w:sz w:val="28"/>
          <w:szCs w:val="28"/>
        </w:rPr>
      </w:pPr>
      <w:r>
        <w:rPr>
          <w:rFonts w:hint="eastAsia" w:cs="宋体" w:asciiTheme="minorEastAsia" w:hAnsiTheme="minorEastAsia"/>
          <w:snapToGrid w:val="0"/>
          <w:color w:val="000000"/>
          <w:spacing w:val="-4"/>
          <w:kern w:val="0"/>
          <w:sz w:val="28"/>
          <w:szCs w:val="28"/>
        </w:rPr>
        <w:t>内盘即主动性卖盘，指卖方主动以低于或等于当前买一、买二、买三等价格卖出期货合约成交的数量；外盘即主动性买盘，指买方主动以高于或等于当前卖一、卖二、卖三等价格买入期货合约成交的数量。</w:t>
      </w:r>
    </w:p>
    <w:p w14:paraId="23684358">
      <w:pPr>
        <w:spacing w:line="360" w:lineRule="auto"/>
        <w:outlineLvl w:val="0"/>
        <w:rPr>
          <w:rFonts w:cs="宋体" w:asciiTheme="minorEastAsia" w:hAnsiTheme="minorEastAsia"/>
          <w:b/>
          <w:snapToGrid w:val="0"/>
          <w:color w:val="000000"/>
          <w:spacing w:val="-4"/>
          <w:kern w:val="0"/>
          <w:sz w:val="28"/>
          <w:szCs w:val="28"/>
        </w:rPr>
      </w:pPr>
      <w:bookmarkStart w:id="258" w:name="_Toc5701"/>
      <w:bookmarkStart w:id="259" w:name="_Toc142640343"/>
      <w:bookmarkStart w:id="260" w:name="_Toc25610"/>
      <w:bookmarkStart w:id="261" w:name="_Toc6325"/>
      <w:r>
        <w:rPr>
          <w:rFonts w:hint="eastAsia" w:cs="宋体" w:asciiTheme="minorEastAsia" w:hAnsiTheme="minorEastAsia"/>
          <w:b/>
          <w:snapToGrid w:val="0"/>
          <w:color w:val="000000"/>
          <w:spacing w:val="-4"/>
          <w:kern w:val="0"/>
          <w:sz w:val="28"/>
          <w:szCs w:val="28"/>
        </w:rPr>
        <w:t>9.期货涨跌幅</w:t>
      </w:r>
      <w:bookmarkEnd w:id="258"/>
      <w:bookmarkEnd w:id="259"/>
      <w:bookmarkEnd w:id="260"/>
      <w:bookmarkEnd w:id="261"/>
    </w:p>
    <w:p w14:paraId="725190B1">
      <w:pPr>
        <w:spacing w:line="360" w:lineRule="auto"/>
        <w:rPr>
          <w:rFonts w:cs="宋体" w:asciiTheme="minorEastAsia" w:hAnsiTheme="minorEastAsia"/>
          <w:snapToGrid w:val="0"/>
          <w:color w:val="000000"/>
          <w:spacing w:val="-4"/>
          <w:kern w:val="0"/>
          <w:sz w:val="28"/>
          <w:szCs w:val="28"/>
        </w:rPr>
      </w:pPr>
      <w:r>
        <w:rPr>
          <w:rFonts w:hint="eastAsia" w:cs="宋体" w:asciiTheme="minorEastAsia" w:hAnsiTheme="minorEastAsia"/>
          <w:snapToGrid w:val="0"/>
          <w:color w:val="000000"/>
          <w:spacing w:val="-4"/>
          <w:kern w:val="0"/>
          <w:sz w:val="28"/>
          <w:szCs w:val="28"/>
        </w:rPr>
        <w:t>期货涨跌幅是根据上一个交易日的结算价为基准价计算当日的涨跌比例（区别于证券按收盘价）。目前东方财富期货交易软件支持设置昨收、昨结、今开为基准价。</w:t>
      </w:r>
    </w:p>
    <w:p w14:paraId="21DEB97F">
      <w:pPr>
        <w:spacing w:line="360" w:lineRule="auto"/>
        <w:outlineLvl w:val="0"/>
        <w:rPr>
          <w:rFonts w:cs="宋体" w:asciiTheme="minorEastAsia" w:hAnsiTheme="minorEastAsia"/>
          <w:b/>
          <w:snapToGrid w:val="0"/>
          <w:color w:val="000000"/>
          <w:spacing w:val="-4"/>
          <w:kern w:val="0"/>
          <w:sz w:val="28"/>
          <w:szCs w:val="28"/>
        </w:rPr>
      </w:pPr>
      <w:bookmarkStart w:id="262" w:name="_Toc142640344"/>
      <w:bookmarkStart w:id="263" w:name="_Toc22899"/>
      <w:bookmarkStart w:id="264" w:name="_Toc28747"/>
      <w:bookmarkStart w:id="265" w:name="_Toc27129"/>
      <w:r>
        <w:rPr>
          <w:rFonts w:hint="eastAsia" w:cs="宋体" w:asciiTheme="minorEastAsia" w:hAnsiTheme="minorEastAsia"/>
          <w:b/>
          <w:snapToGrid w:val="0"/>
          <w:color w:val="000000"/>
          <w:spacing w:val="-4"/>
          <w:kern w:val="0"/>
          <w:sz w:val="28"/>
          <w:szCs w:val="28"/>
        </w:rPr>
        <w:t>10.基差定义</w:t>
      </w:r>
      <w:bookmarkEnd w:id="262"/>
      <w:bookmarkEnd w:id="263"/>
      <w:bookmarkEnd w:id="264"/>
      <w:bookmarkEnd w:id="265"/>
    </w:p>
    <w:p w14:paraId="77C34BA7">
      <w:pPr>
        <w:spacing w:line="360" w:lineRule="auto"/>
        <w:rPr>
          <w:rFonts w:cs="宋体" w:asciiTheme="minorEastAsia" w:hAnsiTheme="minorEastAsia"/>
          <w:snapToGrid w:val="0"/>
          <w:color w:val="000000"/>
          <w:spacing w:val="-4"/>
          <w:kern w:val="0"/>
          <w:sz w:val="28"/>
          <w:szCs w:val="28"/>
        </w:rPr>
      </w:pPr>
      <w:r>
        <w:rPr>
          <w:rFonts w:hint="eastAsia" w:cs="宋体" w:asciiTheme="minorEastAsia" w:hAnsiTheme="minorEastAsia"/>
          <w:snapToGrid w:val="0"/>
          <w:color w:val="000000"/>
          <w:spacing w:val="-4"/>
          <w:kern w:val="0"/>
          <w:sz w:val="28"/>
          <w:szCs w:val="28"/>
        </w:rPr>
        <w:t>基差是某一特定商品于某一特定的时间和地点的现货价格与期货价格之差。它的计算方法是现货价格减去期货价格。若现货价格低于期货价格，基差为负值；现货价格高于期货价格，基差为正值。基差还包含运输成本、储藏成本、利息、保险费等。</w:t>
      </w:r>
    </w:p>
    <w:p w14:paraId="09A11F7D">
      <w:pPr>
        <w:spacing w:line="360" w:lineRule="auto"/>
        <w:outlineLvl w:val="0"/>
        <w:rPr>
          <w:rFonts w:cs="宋体" w:asciiTheme="minorEastAsia" w:hAnsiTheme="minorEastAsia"/>
          <w:b/>
          <w:snapToGrid w:val="0"/>
          <w:color w:val="000000"/>
          <w:spacing w:val="-4"/>
          <w:kern w:val="0"/>
          <w:sz w:val="28"/>
          <w:szCs w:val="28"/>
        </w:rPr>
      </w:pPr>
      <w:bookmarkStart w:id="266" w:name="_Toc30353"/>
      <w:bookmarkStart w:id="267" w:name="_Toc18707"/>
      <w:bookmarkStart w:id="268" w:name="_Toc142640345"/>
      <w:bookmarkStart w:id="269" w:name="_Toc4409"/>
      <w:r>
        <w:rPr>
          <w:rFonts w:hint="eastAsia" w:cs="宋体" w:asciiTheme="minorEastAsia" w:hAnsiTheme="minorEastAsia"/>
          <w:b/>
          <w:snapToGrid w:val="0"/>
          <w:color w:val="000000"/>
          <w:spacing w:val="-4"/>
          <w:kern w:val="0"/>
          <w:sz w:val="28"/>
          <w:szCs w:val="28"/>
        </w:rPr>
        <w:t>11.静态权益、动态权益定义</w:t>
      </w:r>
      <w:bookmarkEnd w:id="266"/>
      <w:bookmarkEnd w:id="267"/>
      <w:bookmarkEnd w:id="268"/>
      <w:bookmarkEnd w:id="269"/>
    </w:p>
    <w:p w14:paraId="5F8458FF">
      <w:pPr>
        <w:spacing w:line="360" w:lineRule="auto"/>
        <w:rPr>
          <w:rFonts w:cs="宋体" w:asciiTheme="minorEastAsia" w:hAnsiTheme="minorEastAsia"/>
          <w:snapToGrid w:val="0"/>
          <w:color w:val="000000"/>
          <w:spacing w:val="-4"/>
          <w:kern w:val="0"/>
          <w:sz w:val="28"/>
          <w:szCs w:val="28"/>
        </w:rPr>
      </w:pPr>
      <w:r>
        <w:rPr>
          <w:rFonts w:hint="eastAsia" w:cs="宋体" w:asciiTheme="minorEastAsia" w:hAnsiTheme="minorEastAsia"/>
          <w:snapToGrid w:val="0"/>
          <w:color w:val="000000"/>
          <w:spacing w:val="-4"/>
          <w:kern w:val="0"/>
          <w:sz w:val="28"/>
          <w:szCs w:val="28"/>
        </w:rPr>
        <w:t>静态权益为上一交易日结算后的客户总权益，也叫上日权益。动态权益是根据客户持仓盘面即时价格计算出来的权益，在交易时间里，动态权益是随着持仓合约价格波动而不断变化的，也叫当前权益。</w:t>
      </w:r>
    </w:p>
    <w:p w14:paraId="6B0C45C9">
      <w:pPr>
        <w:spacing w:line="360" w:lineRule="auto"/>
        <w:outlineLvl w:val="0"/>
        <w:rPr>
          <w:rFonts w:cs="宋体" w:asciiTheme="minorEastAsia" w:hAnsiTheme="minorEastAsia"/>
          <w:b/>
          <w:snapToGrid w:val="0"/>
          <w:color w:val="000000"/>
          <w:spacing w:val="-4"/>
          <w:kern w:val="0"/>
          <w:sz w:val="28"/>
          <w:szCs w:val="28"/>
        </w:rPr>
      </w:pPr>
      <w:bookmarkStart w:id="270" w:name="_Toc3143"/>
      <w:bookmarkStart w:id="271" w:name="_Toc17120"/>
      <w:bookmarkStart w:id="272" w:name="_Toc142640346"/>
      <w:bookmarkStart w:id="273" w:name="_Toc22099"/>
      <w:r>
        <w:rPr>
          <w:rFonts w:hint="eastAsia" w:cs="宋体" w:asciiTheme="minorEastAsia" w:hAnsiTheme="minorEastAsia"/>
          <w:b/>
          <w:snapToGrid w:val="0"/>
          <w:color w:val="000000"/>
          <w:spacing w:val="-4"/>
          <w:kern w:val="0"/>
          <w:sz w:val="28"/>
          <w:szCs w:val="28"/>
        </w:rPr>
        <w:t>12.欧式期权、美式期权定义</w:t>
      </w:r>
      <w:bookmarkEnd w:id="270"/>
      <w:bookmarkEnd w:id="271"/>
      <w:bookmarkEnd w:id="272"/>
      <w:bookmarkEnd w:id="273"/>
    </w:p>
    <w:p w14:paraId="17BA9405">
      <w:pPr>
        <w:spacing w:line="360" w:lineRule="auto"/>
        <w:rPr>
          <w:rFonts w:cs="宋体" w:asciiTheme="minorEastAsia" w:hAnsiTheme="minorEastAsia"/>
          <w:snapToGrid w:val="0"/>
          <w:color w:val="000000"/>
          <w:spacing w:val="-4"/>
          <w:kern w:val="0"/>
          <w:sz w:val="28"/>
          <w:szCs w:val="28"/>
        </w:rPr>
      </w:pPr>
      <w:r>
        <w:rPr>
          <w:rFonts w:hint="eastAsia" w:cs="宋体" w:asciiTheme="minorEastAsia" w:hAnsiTheme="minorEastAsia"/>
          <w:snapToGrid w:val="0"/>
          <w:color w:val="000000"/>
          <w:spacing w:val="-4"/>
          <w:kern w:val="0"/>
          <w:sz w:val="28"/>
          <w:szCs w:val="28"/>
        </w:rPr>
        <w:t>欧式期权是指买入期权的一方必须在期权到期日当天才能行权的期权。在亚洲区的金融市场，规定行使期权的时间是期权到期日的北京时间下午14∶00。股指期权为欧式期权。</w:t>
      </w:r>
    </w:p>
    <w:p w14:paraId="1AB9BBA4">
      <w:pPr>
        <w:spacing w:line="360" w:lineRule="auto"/>
        <w:rPr>
          <w:rFonts w:cs="宋体" w:asciiTheme="minorEastAsia" w:hAnsiTheme="minorEastAsia"/>
          <w:snapToGrid w:val="0"/>
          <w:color w:val="000000"/>
          <w:spacing w:val="-4"/>
          <w:kern w:val="0"/>
          <w:sz w:val="28"/>
          <w:szCs w:val="28"/>
        </w:rPr>
      </w:pPr>
      <w:r>
        <w:rPr>
          <w:rFonts w:hint="eastAsia" w:cs="宋体" w:asciiTheme="minorEastAsia" w:hAnsiTheme="minorEastAsia"/>
          <w:snapToGrid w:val="0"/>
          <w:color w:val="000000"/>
          <w:spacing w:val="-4"/>
          <w:kern w:val="0"/>
          <w:sz w:val="28"/>
          <w:szCs w:val="28"/>
        </w:rPr>
        <w:t>美式期权是指买入期权的一方可在期权到期日前任意一天行权的期权。除股指期权以外其他品种均为美式期权。</w:t>
      </w:r>
    </w:p>
    <w:p w14:paraId="055B57BD">
      <w:pPr>
        <w:spacing w:line="360" w:lineRule="auto"/>
        <w:outlineLvl w:val="0"/>
        <w:rPr>
          <w:rFonts w:cs="宋体" w:asciiTheme="minorEastAsia" w:hAnsiTheme="minorEastAsia"/>
          <w:b/>
          <w:snapToGrid w:val="0"/>
          <w:color w:val="000000"/>
          <w:spacing w:val="-4"/>
          <w:kern w:val="0"/>
          <w:sz w:val="28"/>
          <w:szCs w:val="28"/>
        </w:rPr>
      </w:pPr>
      <w:bookmarkStart w:id="274" w:name="_Toc142640347"/>
      <w:bookmarkStart w:id="275" w:name="_Toc17472"/>
      <w:bookmarkStart w:id="276" w:name="_Toc21908"/>
      <w:bookmarkStart w:id="277" w:name="_Toc19506"/>
      <w:r>
        <w:rPr>
          <w:rFonts w:hint="eastAsia" w:cs="宋体" w:asciiTheme="minorEastAsia" w:hAnsiTheme="minorEastAsia"/>
          <w:b/>
          <w:snapToGrid w:val="0"/>
          <w:color w:val="000000"/>
          <w:spacing w:val="-4"/>
          <w:kern w:val="0"/>
          <w:sz w:val="28"/>
          <w:szCs w:val="28"/>
        </w:rPr>
        <w:t>13.逐日盯市定义</w:t>
      </w:r>
      <w:bookmarkEnd w:id="274"/>
      <w:bookmarkEnd w:id="275"/>
      <w:bookmarkEnd w:id="276"/>
      <w:bookmarkEnd w:id="277"/>
    </w:p>
    <w:p w14:paraId="67119D0B">
      <w:pPr>
        <w:spacing w:line="360" w:lineRule="auto"/>
        <w:rPr>
          <w:rFonts w:cs="宋体" w:asciiTheme="minorEastAsia" w:hAnsiTheme="minorEastAsia"/>
          <w:snapToGrid w:val="0"/>
          <w:color w:val="000000"/>
          <w:spacing w:val="-4"/>
          <w:kern w:val="0"/>
          <w:sz w:val="28"/>
          <w:szCs w:val="28"/>
        </w:rPr>
      </w:pPr>
      <w:r>
        <w:rPr>
          <w:rFonts w:hint="eastAsia" w:cs="宋体" w:asciiTheme="minorEastAsia" w:hAnsiTheme="minorEastAsia"/>
          <w:snapToGrid w:val="0"/>
          <w:color w:val="000000"/>
          <w:spacing w:val="-4"/>
          <w:kern w:val="0"/>
          <w:sz w:val="28"/>
          <w:szCs w:val="28"/>
        </w:rPr>
        <w:t>逐日盯市制度，即每日结算无负债制度，是指在每个交易日结束之后，通过根据结算价计算浮动盈亏、平仓价计算实际盈亏两个方面来对投资者账户进行结算。逐日盯市制度保证了每一交易账户的盈亏都能得</w:t>
      </w:r>
    </w:p>
    <w:p w14:paraId="5544222F">
      <w:pPr>
        <w:spacing w:line="360" w:lineRule="auto"/>
        <w:rPr>
          <w:rFonts w:cs="宋体" w:asciiTheme="minorEastAsia" w:hAnsiTheme="minorEastAsia"/>
          <w:snapToGrid w:val="0"/>
          <w:color w:val="000000"/>
          <w:spacing w:val="-4"/>
          <w:kern w:val="0"/>
          <w:sz w:val="28"/>
          <w:szCs w:val="28"/>
        </w:rPr>
      </w:pPr>
      <w:r>
        <w:rPr>
          <w:rFonts w:hint="eastAsia" w:cs="宋体" w:asciiTheme="minorEastAsia" w:hAnsiTheme="minorEastAsia"/>
          <w:snapToGrid w:val="0"/>
          <w:color w:val="000000"/>
          <w:spacing w:val="-4"/>
          <w:kern w:val="0"/>
          <w:sz w:val="28"/>
          <w:szCs w:val="28"/>
        </w:rPr>
        <w:t>到及时的、具体的、真实的反映，为及时调整账户资金、控制风险提</w:t>
      </w:r>
    </w:p>
    <w:p w14:paraId="4F4B04E3">
      <w:pPr>
        <w:spacing w:line="360" w:lineRule="auto"/>
        <w:rPr>
          <w:rFonts w:cs="宋体" w:asciiTheme="minorEastAsia" w:hAnsiTheme="minorEastAsia"/>
          <w:snapToGrid w:val="0"/>
          <w:color w:val="000000"/>
          <w:spacing w:val="-4"/>
          <w:kern w:val="0"/>
          <w:sz w:val="28"/>
          <w:szCs w:val="28"/>
        </w:rPr>
      </w:pPr>
      <w:r>
        <w:rPr>
          <w:rFonts w:hint="eastAsia" w:cs="宋体" w:asciiTheme="minorEastAsia" w:hAnsiTheme="minorEastAsia"/>
          <w:snapToGrid w:val="0"/>
          <w:color w:val="000000"/>
          <w:spacing w:val="-4"/>
          <w:kern w:val="0"/>
          <w:sz w:val="28"/>
          <w:szCs w:val="28"/>
        </w:rPr>
        <w:t>供依据。</w:t>
      </w:r>
    </w:p>
    <w:p w14:paraId="420F9131">
      <w:pPr>
        <w:spacing w:line="360" w:lineRule="auto"/>
        <w:outlineLvl w:val="0"/>
        <w:rPr>
          <w:rFonts w:cs="宋体" w:asciiTheme="minorEastAsia" w:hAnsiTheme="minorEastAsia"/>
          <w:b/>
          <w:snapToGrid w:val="0"/>
          <w:color w:val="000000"/>
          <w:spacing w:val="-4"/>
          <w:kern w:val="0"/>
          <w:sz w:val="28"/>
          <w:szCs w:val="28"/>
        </w:rPr>
      </w:pPr>
      <w:bookmarkStart w:id="278" w:name="_Toc25506"/>
      <w:bookmarkStart w:id="279" w:name="_Toc25616"/>
      <w:bookmarkStart w:id="280" w:name="_Toc6617"/>
      <w:bookmarkStart w:id="281" w:name="_Toc142640348"/>
      <w:r>
        <w:rPr>
          <w:rFonts w:hint="eastAsia" w:cs="宋体" w:asciiTheme="minorEastAsia" w:hAnsiTheme="minorEastAsia"/>
          <w:b/>
          <w:snapToGrid w:val="0"/>
          <w:color w:val="000000"/>
          <w:spacing w:val="-4"/>
          <w:kern w:val="0"/>
          <w:sz w:val="28"/>
          <w:szCs w:val="28"/>
        </w:rPr>
        <w:t>14.逐笔对冲定义</w:t>
      </w:r>
      <w:bookmarkEnd w:id="278"/>
      <w:bookmarkEnd w:id="279"/>
      <w:bookmarkEnd w:id="280"/>
      <w:bookmarkEnd w:id="281"/>
    </w:p>
    <w:p w14:paraId="5F4439B2">
      <w:pPr>
        <w:spacing w:line="360" w:lineRule="auto"/>
        <w:rPr>
          <w:rFonts w:cs="宋体" w:asciiTheme="minorEastAsia" w:hAnsiTheme="minorEastAsia"/>
          <w:snapToGrid w:val="0"/>
          <w:color w:val="000000"/>
          <w:spacing w:val="-4"/>
          <w:kern w:val="0"/>
          <w:sz w:val="28"/>
          <w:szCs w:val="28"/>
        </w:rPr>
      </w:pPr>
      <w:r>
        <w:rPr>
          <w:rFonts w:hint="eastAsia" w:cs="宋体" w:asciiTheme="minorEastAsia" w:hAnsiTheme="minorEastAsia"/>
          <w:snapToGrid w:val="0"/>
          <w:color w:val="000000"/>
          <w:spacing w:val="-4"/>
          <w:kern w:val="0"/>
          <w:sz w:val="28"/>
          <w:szCs w:val="28"/>
        </w:rPr>
        <w:t>逐笔对冲是结算账单的一种计算方式，指结算账单最终盈亏按每</w:t>
      </w:r>
    </w:p>
    <w:p w14:paraId="3364D68A">
      <w:pPr>
        <w:spacing w:line="360" w:lineRule="auto"/>
        <w:rPr>
          <w:rFonts w:cs="宋体" w:asciiTheme="minorEastAsia" w:hAnsiTheme="minorEastAsia"/>
          <w:snapToGrid w:val="0"/>
          <w:color w:val="000000"/>
          <w:spacing w:val="-4"/>
          <w:kern w:val="0"/>
          <w:sz w:val="28"/>
          <w:szCs w:val="28"/>
        </w:rPr>
      </w:pPr>
      <w:r>
        <w:rPr>
          <w:rFonts w:hint="eastAsia" w:cs="宋体" w:asciiTheme="minorEastAsia" w:hAnsiTheme="minorEastAsia"/>
          <w:snapToGrid w:val="0"/>
          <w:color w:val="000000"/>
          <w:spacing w:val="-4"/>
          <w:kern w:val="0"/>
          <w:sz w:val="28"/>
          <w:szCs w:val="28"/>
        </w:rPr>
        <w:t>日计算自开仓之日起至当日的累计盈亏。</w:t>
      </w:r>
    </w:p>
    <w:p w14:paraId="749C8DCB">
      <w:pPr>
        <w:spacing w:line="360" w:lineRule="auto"/>
        <w:outlineLvl w:val="0"/>
        <w:rPr>
          <w:rFonts w:cs="宋体" w:asciiTheme="minorEastAsia" w:hAnsiTheme="minorEastAsia"/>
          <w:b/>
          <w:snapToGrid w:val="0"/>
          <w:color w:val="000000"/>
          <w:spacing w:val="-4"/>
          <w:kern w:val="0"/>
          <w:sz w:val="28"/>
          <w:szCs w:val="28"/>
        </w:rPr>
      </w:pPr>
      <w:bookmarkStart w:id="282" w:name="_Toc21575"/>
      <w:bookmarkStart w:id="283" w:name="_Toc26302"/>
      <w:bookmarkStart w:id="284" w:name="_Toc21385"/>
      <w:bookmarkStart w:id="285" w:name="_Toc142640349"/>
      <w:r>
        <w:rPr>
          <w:rFonts w:hint="eastAsia" w:cs="宋体" w:asciiTheme="minorEastAsia" w:hAnsiTheme="minorEastAsia"/>
          <w:b/>
          <w:snapToGrid w:val="0"/>
          <w:color w:val="000000"/>
          <w:spacing w:val="-4"/>
          <w:kern w:val="0"/>
          <w:sz w:val="28"/>
          <w:szCs w:val="28"/>
        </w:rPr>
        <w:t>15.逐笔浮盈（盈亏）、盯市浮盈（盈亏）定义</w:t>
      </w:r>
      <w:bookmarkEnd w:id="282"/>
      <w:bookmarkEnd w:id="283"/>
      <w:bookmarkEnd w:id="284"/>
      <w:bookmarkEnd w:id="285"/>
    </w:p>
    <w:p w14:paraId="66345605">
      <w:pPr>
        <w:spacing w:line="360" w:lineRule="auto"/>
        <w:rPr>
          <w:rFonts w:cs="宋体" w:asciiTheme="minorEastAsia" w:hAnsiTheme="minorEastAsia"/>
          <w:snapToGrid w:val="0"/>
          <w:color w:val="000000"/>
          <w:spacing w:val="-4"/>
          <w:kern w:val="0"/>
          <w:sz w:val="28"/>
          <w:szCs w:val="28"/>
        </w:rPr>
      </w:pPr>
      <w:r>
        <w:rPr>
          <w:rFonts w:hint="eastAsia" w:cs="宋体" w:asciiTheme="minorEastAsia" w:hAnsiTheme="minorEastAsia"/>
          <w:snapToGrid w:val="0"/>
          <w:color w:val="000000"/>
          <w:spacing w:val="-4"/>
          <w:kern w:val="0"/>
          <w:sz w:val="28"/>
          <w:szCs w:val="28"/>
        </w:rPr>
        <w:t>逐笔浮盈（盈亏）是指持仓合约按照开仓价与最新价价格（平仓价格）计算出来的浮动盈亏（或盈亏）。</w:t>
      </w:r>
    </w:p>
    <w:p w14:paraId="29CE4F45">
      <w:pPr>
        <w:spacing w:line="360" w:lineRule="auto"/>
        <w:rPr>
          <w:rFonts w:cs="宋体" w:asciiTheme="minorEastAsia" w:hAnsiTheme="minorEastAsia"/>
          <w:snapToGrid w:val="0"/>
          <w:color w:val="000000"/>
          <w:spacing w:val="-4"/>
          <w:kern w:val="0"/>
          <w:sz w:val="28"/>
          <w:szCs w:val="28"/>
        </w:rPr>
      </w:pPr>
      <w:r>
        <w:rPr>
          <w:rFonts w:hint="eastAsia" w:cs="宋体" w:asciiTheme="minorEastAsia" w:hAnsiTheme="minorEastAsia"/>
          <w:snapToGrid w:val="0"/>
          <w:color w:val="000000"/>
          <w:spacing w:val="-4"/>
          <w:kern w:val="0"/>
          <w:sz w:val="28"/>
          <w:szCs w:val="28"/>
        </w:rPr>
        <w:t>盯市浮盈（盈亏）则是指按照昨结价与最新价（平仓价格）计算出的浮动盈亏（盈亏）。</w:t>
      </w:r>
    </w:p>
    <w:p w14:paraId="0511B4D0">
      <w:pPr>
        <w:spacing w:line="360" w:lineRule="auto"/>
        <w:outlineLvl w:val="0"/>
        <w:rPr>
          <w:rFonts w:cs="宋体" w:asciiTheme="minorEastAsia" w:hAnsiTheme="minorEastAsia"/>
          <w:b/>
          <w:snapToGrid w:val="0"/>
          <w:color w:val="000000"/>
          <w:spacing w:val="-4"/>
          <w:kern w:val="0"/>
          <w:sz w:val="28"/>
          <w:szCs w:val="28"/>
        </w:rPr>
      </w:pPr>
      <w:bookmarkStart w:id="286" w:name="_Toc18036"/>
      <w:bookmarkStart w:id="287" w:name="_Toc28115"/>
      <w:bookmarkStart w:id="288" w:name="_Toc12126"/>
      <w:bookmarkStart w:id="289" w:name="_Toc142640350"/>
      <w:r>
        <w:rPr>
          <w:rFonts w:hint="eastAsia" w:cs="宋体" w:asciiTheme="minorEastAsia" w:hAnsiTheme="minorEastAsia"/>
          <w:b/>
          <w:snapToGrid w:val="0"/>
          <w:color w:val="000000"/>
          <w:spacing w:val="-4"/>
          <w:kern w:val="0"/>
          <w:sz w:val="28"/>
          <w:szCs w:val="28"/>
        </w:rPr>
        <w:t>16.平仓盈亏定义</w:t>
      </w:r>
      <w:bookmarkEnd w:id="286"/>
      <w:bookmarkEnd w:id="287"/>
      <w:bookmarkEnd w:id="288"/>
      <w:bookmarkEnd w:id="289"/>
    </w:p>
    <w:p w14:paraId="3162B1CF">
      <w:pPr>
        <w:spacing w:line="360" w:lineRule="auto"/>
        <w:rPr>
          <w:rFonts w:cs="宋体" w:asciiTheme="minorEastAsia" w:hAnsiTheme="minorEastAsia"/>
          <w:snapToGrid w:val="0"/>
          <w:color w:val="000000"/>
          <w:spacing w:val="-4"/>
          <w:kern w:val="0"/>
          <w:sz w:val="28"/>
          <w:szCs w:val="28"/>
        </w:rPr>
      </w:pPr>
      <w:r>
        <w:rPr>
          <w:rFonts w:hint="eastAsia" w:cs="宋体" w:asciiTheme="minorEastAsia" w:hAnsiTheme="minorEastAsia"/>
          <w:snapToGrid w:val="0"/>
          <w:color w:val="000000"/>
          <w:spacing w:val="-4"/>
          <w:kern w:val="0"/>
          <w:sz w:val="28"/>
          <w:szCs w:val="28"/>
        </w:rPr>
        <w:t>平仓盈亏指持仓合约按照开仓价（当日新开仓）或昨结价（历史仓）与平仓价计算得出的盈亏。以多单为例，平仓盈亏=（平仓价格-持仓均价）*交易单位*手数。</w:t>
      </w:r>
    </w:p>
    <w:p w14:paraId="5788C6FA">
      <w:pPr>
        <w:spacing w:line="360" w:lineRule="auto"/>
        <w:outlineLvl w:val="0"/>
        <w:rPr>
          <w:rFonts w:cs="宋体" w:asciiTheme="minorEastAsia" w:hAnsiTheme="minorEastAsia"/>
          <w:b/>
          <w:snapToGrid w:val="0"/>
          <w:color w:val="000000"/>
          <w:spacing w:val="-4"/>
          <w:kern w:val="0"/>
          <w:sz w:val="28"/>
          <w:szCs w:val="28"/>
        </w:rPr>
      </w:pPr>
      <w:bookmarkStart w:id="290" w:name="_Toc23637"/>
      <w:bookmarkStart w:id="291" w:name="_Toc142640351"/>
      <w:bookmarkStart w:id="292" w:name="_Toc2776"/>
      <w:bookmarkStart w:id="293" w:name="_Toc30822"/>
      <w:r>
        <w:rPr>
          <w:rFonts w:hint="eastAsia" w:cs="宋体" w:asciiTheme="minorEastAsia" w:hAnsiTheme="minorEastAsia"/>
          <w:b/>
          <w:snapToGrid w:val="0"/>
          <w:color w:val="000000"/>
          <w:spacing w:val="-4"/>
          <w:kern w:val="0"/>
          <w:sz w:val="28"/>
          <w:szCs w:val="28"/>
        </w:rPr>
        <w:t>17.主力合约、次主力合约定义</w:t>
      </w:r>
      <w:bookmarkEnd w:id="290"/>
      <w:bookmarkEnd w:id="291"/>
      <w:bookmarkEnd w:id="292"/>
      <w:bookmarkEnd w:id="293"/>
    </w:p>
    <w:p w14:paraId="797B3672">
      <w:pPr>
        <w:spacing w:line="360" w:lineRule="auto"/>
        <w:rPr>
          <w:rFonts w:cs="宋体" w:asciiTheme="minorEastAsia" w:hAnsiTheme="minorEastAsia"/>
          <w:snapToGrid w:val="0"/>
          <w:color w:val="000000"/>
          <w:spacing w:val="-4"/>
          <w:kern w:val="0"/>
          <w:sz w:val="28"/>
          <w:szCs w:val="28"/>
        </w:rPr>
      </w:pPr>
      <w:r>
        <w:rPr>
          <w:rFonts w:hint="eastAsia" w:cs="宋体" w:asciiTheme="minorEastAsia" w:hAnsiTheme="minorEastAsia"/>
          <w:snapToGrid w:val="0"/>
          <w:color w:val="000000"/>
          <w:spacing w:val="-4"/>
          <w:kern w:val="0"/>
          <w:sz w:val="28"/>
          <w:szCs w:val="28"/>
        </w:rPr>
        <w:t>所谓主力合约指的是成交量、持仓量最大的合约。因为它是市场上最活跃的合约，大部分投机者基本上都在参与这个合约。次主力合约为成交量、持仓量仅次于主力合约第二大的合约。</w:t>
      </w:r>
    </w:p>
    <w:p w14:paraId="2B5A5DDF">
      <w:pPr>
        <w:spacing w:line="360" w:lineRule="auto"/>
        <w:outlineLvl w:val="0"/>
        <w:rPr>
          <w:rFonts w:cs="宋体" w:asciiTheme="minorEastAsia" w:hAnsiTheme="minorEastAsia"/>
          <w:b/>
          <w:snapToGrid w:val="0"/>
          <w:color w:val="000000"/>
          <w:spacing w:val="-4"/>
          <w:kern w:val="0"/>
          <w:sz w:val="28"/>
          <w:szCs w:val="28"/>
        </w:rPr>
      </w:pPr>
      <w:bookmarkStart w:id="294" w:name="_Toc8983"/>
      <w:bookmarkStart w:id="295" w:name="_Toc17925"/>
      <w:bookmarkStart w:id="296" w:name="_Toc8798"/>
      <w:bookmarkStart w:id="297" w:name="_Toc142640352"/>
      <w:r>
        <w:rPr>
          <w:rFonts w:hint="eastAsia" w:cs="宋体" w:asciiTheme="minorEastAsia" w:hAnsiTheme="minorEastAsia"/>
          <w:b/>
          <w:snapToGrid w:val="0"/>
          <w:color w:val="000000"/>
          <w:spacing w:val="-4"/>
          <w:kern w:val="0"/>
          <w:sz w:val="28"/>
          <w:szCs w:val="28"/>
        </w:rPr>
        <w:t>18.主力连续定义</w:t>
      </w:r>
      <w:bookmarkEnd w:id="294"/>
      <w:bookmarkEnd w:id="295"/>
      <w:bookmarkEnd w:id="296"/>
      <w:bookmarkEnd w:id="297"/>
    </w:p>
    <w:p w14:paraId="413A8131">
      <w:pPr>
        <w:spacing w:line="360" w:lineRule="auto"/>
        <w:rPr>
          <w:rFonts w:cs="宋体" w:asciiTheme="minorEastAsia" w:hAnsiTheme="minorEastAsia"/>
          <w:snapToGrid w:val="0"/>
          <w:color w:val="000000"/>
          <w:spacing w:val="-4"/>
          <w:kern w:val="0"/>
          <w:sz w:val="28"/>
          <w:szCs w:val="28"/>
        </w:rPr>
      </w:pPr>
      <w:r>
        <w:rPr>
          <w:rFonts w:hint="eastAsia" w:cs="宋体" w:asciiTheme="minorEastAsia" w:hAnsiTheme="minorEastAsia"/>
          <w:snapToGrid w:val="0"/>
          <w:color w:val="000000"/>
          <w:spacing w:val="-4"/>
          <w:kern w:val="0"/>
          <w:sz w:val="28"/>
          <w:szCs w:val="28"/>
        </w:rPr>
        <w:t>主力连续是指由本品种所有合约中选择成交量、持仓量最大的合约连成的合约，主要目的是为了避免主力合约换月造成的价格不连续，方便投资者研究长期的价格走势而设置的。（主力连续合约无法交易）</w:t>
      </w:r>
    </w:p>
    <w:p w14:paraId="3338433A">
      <w:pPr>
        <w:spacing w:line="360" w:lineRule="auto"/>
        <w:outlineLvl w:val="0"/>
        <w:rPr>
          <w:rFonts w:cs="宋体" w:asciiTheme="minorEastAsia" w:hAnsiTheme="minorEastAsia"/>
          <w:b/>
          <w:snapToGrid w:val="0"/>
          <w:color w:val="000000"/>
          <w:spacing w:val="-4"/>
          <w:kern w:val="0"/>
          <w:sz w:val="28"/>
          <w:szCs w:val="28"/>
        </w:rPr>
      </w:pPr>
      <w:bookmarkStart w:id="298" w:name="_Toc32590"/>
      <w:bookmarkStart w:id="299" w:name="_Toc26641"/>
      <w:bookmarkStart w:id="300" w:name="_Toc142640353"/>
      <w:bookmarkStart w:id="301" w:name="_Toc19805"/>
      <w:r>
        <w:rPr>
          <w:rFonts w:hint="eastAsia" w:cs="宋体" w:asciiTheme="minorEastAsia" w:hAnsiTheme="minorEastAsia"/>
          <w:b/>
          <w:snapToGrid w:val="0"/>
          <w:color w:val="000000"/>
          <w:spacing w:val="-4"/>
          <w:kern w:val="0"/>
          <w:sz w:val="28"/>
          <w:szCs w:val="28"/>
        </w:rPr>
        <w:t>19.指数合约定义</w:t>
      </w:r>
      <w:bookmarkEnd w:id="298"/>
      <w:bookmarkEnd w:id="299"/>
      <w:bookmarkEnd w:id="300"/>
      <w:bookmarkEnd w:id="301"/>
    </w:p>
    <w:p w14:paraId="3F928989">
      <w:pPr>
        <w:spacing w:line="360" w:lineRule="auto"/>
        <w:rPr>
          <w:rFonts w:cs="宋体" w:asciiTheme="minorEastAsia" w:hAnsiTheme="minorEastAsia"/>
          <w:snapToGrid w:val="0"/>
          <w:color w:val="000000"/>
          <w:spacing w:val="-4"/>
          <w:kern w:val="0"/>
          <w:sz w:val="28"/>
          <w:szCs w:val="28"/>
        </w:rPr>
      </w:pPr>
      <w:r>
        <w:rPr>
          <w:rFonts w:hint="eastAsia" w:cs="宋体" w:asciiTheme="minorEastAsia" w:hAnsiTheme="minorEastAsia"/>
          <w:snapToGrid w:val="0"/>
          <w:color w:val="000000"/>
          <w:spacing w:val="-4"/>
          <w:kern w:val="0"/>
          <w:sz w:val="28"/>
          <w:szCs w:val="28"/>
        </w:rPr>
        <w:t>指数合约是指以每个合约的价格按照成交量加权得出的一个平均值。反映的是该期货品种整体走势，趋势性更好。（指数合约无法交易）</w:t>
      </w:r>
    </w:p>
    <w:p w14:paraId="5D36B747">
      <w:pPr>
        <w:spacing w:line="360" w:lineRule="auto"/>
        <w:outlineLvl w:val="0"/>
        <w:rPr>
          <w:rFonts w:cs="宋体" w:asciiTheme="minorEastAsia" w:hAnsiTheme="minorEastAsia"/>
          <w:b/>
          <w:snapToGrid w:val="0"/>
          <w:color w:val="000000"/>
          <w:spacing w:val="-4"/>
          <w:kern w:val="0"/>
          <w:sz w:val="28"/>
          <w:szCs w:val="28"/>
        </w:rPr>
      </w:pPr>
      <w:bookmarkStart w:id="302" w:name="_Toc142640354"/>
      <w:bookmarkStart w:id="303" w:name="_Toc26974"/>
      <w:bookmarkStart w:id="304" w:name="_Toc10341"/>
      <w:bookmarkStart w:id="305" w:name="_Toc15397"/>
      <w:r>
        <w:rPr>
          <w:rFonts w:hint="eastAsia" w:cs="宋体" w:asciiTheme="minorEastAsia" w:hAnsiTheme="minorEastAsia"/>
          <w:b/>
          <w:snapToGrid w:val="0"/>
          <w:color w:val="000000"/>
          <w:spacing w:val="-4"/>
          <w:kern w:val="0"/>
          <w:sz w:val="28"/>
          <w:szCs w:val="28"/>
        </w:rPr>
        <w:t>20.结算价定义</w:t>
      </w:r>
      <w:bookmarkEnd w:id="302"/>
      <w:bookmarkEnd w:id="303"/>
      <w:bookmarkEnd w:id="304"/>
      <w:bookmarkEnd w:id="305"/>
    </w:p>
    <w:p w14:paraId="2DD962AA">
      <w:pPr>
        <w:spacing w:line="360" w:lineRule="auto"/>
        <w:rPr>
          <w:rFonts w:cs="宋体" w:asciiTheme="minorEastAsia" w:hAnsiTheme="minorEastAsia"/>
          <w:snapToGrid w:val="0"/>
          <w:color w:val="000000"/>
          <w:spacing w:val="-4"/>
          <w:kern w:val="0"/>
          <w:sz w:val="28"/>
          <w:szCs w:val="28"/>
        </w:rPr>
      </w:pPr>
      <w:r>
        <w:rPr>
          <w:rFonts w:hint="eastAsia" w:cs="宋体" w:asciiTheme="minorEastAsia" w:hAnsiTheme="minorEastAsia"/>
          <w:snapToGrid w:val="0"/>
          <w:color w:val="000000"/>
          <w:spacing w:val="-4"/>
          <w:kern w:val="0"/>
          <w:sz w:val="28"/>
          <w:szCs w:val="28"/>
        </w:rPr>
        <w:t>商品期货结算价取当日成交价按成交量的加权平均价，金融期货</w:t>
      </w:r>
    </w:p>
    <w:p w14:paraId="6CCE4943">
      <w:pPr>
        <w:spacing w:line="360" w:lineRule="auto"/>
        <w:rPr>
          <w:rFonts w:cs="宋体" w:asciiTheme="minorEastAsia" w:hAnsiTheme="minorEastAsia"/>
          <w:snapToGrid w:val="0"/>
          <w:color w:val="000000"/>
          <w:spacing w:val="-4"/>
          <w:kern w:val="0"/>
          <w:sz w:val="28"/>
          <w:szCs w:val="28"/>
        </w:rPr>
      </w:pPr>
      <w:r>
        <w:rPr>
          <w:rFonts w:hint="eastAsia" w:cs="宋体" w:asciiTheme="minorEastAsia" w:hAnsiTheme="minorEastAsia"/>
          <w:snapToGrid w:val="0"/>
          <w:color w:val="000000"/>
          <w:spacing w:val="-4"/>
          <w:kern w:val="0"/>
          <w:sz w:val="28"/>
          <w:szCs w:val="28"/>
        </w:rPr>
        <w:t>结算价取当日最后一小时成交价按成交量的加权平均价。</w:t>
      </w:r>
    </w:p>
    <w:p w14:paraId="02AE179D">
      <w:pPr>
        <w:spacing w:line="360" w:lineRule="auto"/>
        <w:outlineLvl w:val="0"/>
        <w:rPr>
          <w:rFonts w:cs="宋体" w:asciiTheme="minorEastAsia" w:hAnsiTheme="minorEastAsia"/>
          <w:b/>
          <w:snapToGrid w:val="0"/>
          <w:color w:val="000000"/>
          <w:spacing w:val="-4"/>
          <w:kern w:val="0"/>
          <w:sz w:val="28"/>
          <w:szCs w:val="28"/>
        </w:rPr>
      </w:pPr>
      <w:bookmarkStart w:id="306" w:name="_Toc24179"/>
      <w:bookmarkStart w:id="307" w:name="_Toc10333"/>
      <w:bookmarkStart w:id="308" w:name="_Toc142640355"/>
      <w:bookmarkStart w:id="309" w:name="_Toc10576"/>
      <w:r>
        <w:rPr>
          <w:rFonts w:hint="eastAsia" w:cs="宋体" w:asciiTheme="minorEastAsia" w:hAnsiTheme="minorEastAsia"/>
          <w:b/>
          <w:snapToGrid w:val="0"/>
          <w:color w:val="000000"/>
          <w:spacing w:val="-4"/>
          <w:kern w:val="0"/>
          <w:sz w:val="28"/>
          <w:szCs w:val="28"/>
        </w:rPr>
        <w:t>21.委托价格指令定义</w:t>
      </w:r>
      <w:bookmarkEnd w:id="306"/>
      <w:bookmarkEnd w:id="307"/>
      <w:bookmarkEnd w:id="308"/>
      <w:bookmarkEnd w:id="309"/>
    </w:p>
    <w:p w14:paraId="2681D721">
      <w:pPr>
        <w:spacing w:line="360" w:lineRule="auto"/>
        <w:rPr>
          <w:rFonts w:cs="宋体" w:asciiTheme="minorEastAsia" w:hAnsiTheme="minorEastAsia"/>
          <w:snapToGrid w:val="0"/>
          <w:color w:val="000000"/>
          <w:spacing w:val="-4"/>
          <w:kern w:val="0"/>
          <w:sz w:val="28"/>
          <w:szCs w:val="28"/>
        </w:rPr>
      </w:pPr>
      <w:r>
        <w:rPr>
          <w:rFonts w:hint="eastAsia" w:cs="宋体" w:asciiTheme="minorEastAsia" w:hAnsiTheme="minorEastAsia"/>
          <w:snapToGrid w:val="0"/>
          <w:color w:val="000000"/>
          <w:spacing w:val="-4"/>
          <w:kern w:val="0"/>
          <w:sz w:val="28"/>
          <w:szCs w:val="28"/>
        </w:rPr>
        <w:t>最新价：买入卖出都是以盘口最新价发出委托。最新价可能是对手价，也可能是排队价。</w:t>
      </w:r>
    </w:p>
    <w:p w14:paraId="0828E2E5">
      <w:pPr>
        <w:spacing w:line="360" w:lineRule="auto"/>
        <w:rPr>
          <w:rFonts w:cs="宋体" w:asciiTheme="minorEastAsia" w:hAnsiTheme="minorEastAsia"/>
          <w:snapToGrid w:val="0"/>
          <w:color w:val="000000"/>
          <w:spacing w:val="-4"/>
          <w:kern w:val="0"/>
          <w:sz w:val="28"/>
          <w:szCs w:val="28"/>
        </w:rPr>
      </w:pPr>
      <w:r>
        <w:rPr>
          <w:rFonts w:hint="eastAsia" w:cs="宋体" w:asciiTheme="minorEastAsia" w:hAnsiTheme="minorEastAsia"/>
          <w:snapToGrid w:val="0"/>
          <w:color w:val="000000"/>
          <w:spacing w:val="-4"/>
          <w:kern w:val="0"/>
          <w:sz w:val="28"/>
          <w:szCs w:val="28"/>
        </w:rPr>
        <w:t>排队价：排队价指的是以盘口买一价发出买入委托，或以盘口卖一价发出卖出委托。由于价格不优先，不能保证即时成交，因此需要排队等待成交，故称排队价。</w:t>
      </w:r>
    </w:p>
    <w:p w14:paraId="56652BFC">
      <w:pPr>
        <w:spacing w:line="360" w:lineRule="auto"/>
        <w:rPr>
          <w:rFonts w:cs="宋体" w:asciiTheme="minorEastAsia" w:hAnsiTheme="minorEastAsia"/>
          <w:snapToGrid w:val="0"/>
          <w:color w:val="000000"/>
          <w:spacing w:val="-4"/>
          <w:kern w:val="0"/>
          <w:sz w:val="28"/>
          <w:szCs w:val="28"/>
        </w:rPr>
      </w:pPr>
      <w:r>
        <w:rPr>
          <w:rFonts w:hint="eastAsia" w:cs="宋体" w:asciiTheme="minorEastAsia" w:hAnsiTheme="minorEastAsia"/>
          <w:snapToGrid w:val="0"/>
          <w:color w:val="000000"/>
          <w:spacing w:val="-4"/>
          <w:kern w:val="0"/>
          <w:sz w:val="28"/>
          <w:szCs w:val="28"/>
        </w:rPr>
        <w:t>对手价：以对手盘报价来发出委托，即以盘口卖一价发出买入委托、或以盘口买一价发出卖出委托。根据价格优先原则，基本可以保证即时成交。</w:t>
      </w:r>
    </w:p>
    <w:p w14:paraId="11EDBA4E">
      <w:pPr>
        <w:spacing w:line="360" w:lineRule="auto"/>
        <w:rPr>
          <w:rFonts w:cs="宋体" w:asciiTheme="minorEastAsia" w:hAnsiTheme="minorEastAsia"/>
          <w:snapToGrid w:val="0"/>
          <w:color w:val="000000"/>
          <w:spacing w:val="-4"/>
          <w:kern w:val="0"/>
          <w:sz w:val="28"/>
          <w:szCs w:val="28"/>
        </w:rPr>
      </w:pPr>
      <w:r>
        <w:rPr>
          <w:rFonts w:hint="eastAsia" w:cs="宋体" w:asciiTheme="minorEastAsia" w:hAnsiTheme="minorEastAsia"/>
          <w:snapToGrid w:val="0"/>
          <w:color w:val="000000"/>
          <w:spacing w:val="-4"/>
          <w:kern w:val="0"/>
          <w:sz w:val="28"/>
          <w:szCs w:val="28"/>
        </w:rPr>
        <w:t>市价：指的是以涨停板价发出买入委托、以跌停板价发出卖出委托。最大限度保证即时成交，但在行情剧烈波动或缺少对手盘时，容易造成滑点。</w:t>
      </w:r>
    </w:p>
    <w:p w14:paraId="4EC2E6DD">
      <w:pPr>
        <w:spacing w:line="360" w:lineRule="auto"/>
        <w:rPr>
          <w:rFonts w:cs="宋体" w:asciiTheme="minorEastAsia" w:hAnsiTheme="minorEastAsia"/>
          <w:snapToGrid w:val="0"/>
          <w:color w:val="000000"/>
          <w:spacing w:val="-4"/>
          <w:kern w:val="0"/>
          <w:sz w:val="28"/>
          <w:szCs w:val="28"/>
        </w:rPr>
      </w:pPr>
      <w:r>
        <w:rPr>
          <w:rFonts w:hint="eastAsia" w:cs="宋体" w:asciiTheme="minorEastAsia" w:hAnsiTheme="minorEastAsia"/>
          <w:snapToGrid w:val="0"/>
          <w:color w:val="000000"/>
          <w:spacing w:val="-4"/>
          <w:kern w:val="0"/>
          <w:sz w:val="28"/>
          <w:szCs w:val="28"/>
        </w:rPr>
        <w:t>超价：指的是以最新价为基础，超过N个最小变动价位（默认1个变动价位）。以对手价+N最小变动价位发出买入委托，以对手价-N最小变动价位发出卖出委托。类似市价但更为理智的抢单方式，滑点可控。</w:t>
      </w:r>
    </w:p>
    <w:p w14:paraId="3018EEA3">
      <w:pPr>
        <w:spacing w:line="360" w:lineRule="auto"/>
        <w:rPr>
          <w:rFonts w:cs="宋体" w:asciiTheme="minorEastAsia" w:hAnsiTheme="minorEastAsia"/>
          <w:snapToGrid w:val="0"/>
          <w:color w:val="000000"/>
          <w:spacing w:val="-4"/>
          <w:kern w:val="0"/>
          <w:sz w:val="28"/>
          <w:szCs w:val="28"/>
        </w:rPr>
      </w:pPr>
      <w:r>
        <w:rPr>
          <w:rFonts w:hint="eastAsia" w:cs="宋体" w:asciiTheme="minorEastAsia" w:hAnsiTheme="minorEastAsia"/>
          <w:snapToGrid w:val="0"/>
          <w:color w:val="000000"/>
          <w:spacing w:val="-4"/>
          <w:kern w:val="0"/>
          <w:sz w:val="28"/>
          <w:szCs w:val="28"/>
        </w:rPr>
        <w:t>限价：以限定（自定义）价格发出委托。（默认最新价）</w:t>
      </w:r>
    </w:p>
    <w:p w14:paraId="062647E0">
      <w:pPr>
        <w:spacing w:line="360" w:lineRule="auto"/>
        <w:outlineLvl w:val="0"/>
        <w:rPr>
          <w:rFonts w:cs="宋体" w:asciiTheme="minorEastAsia" w:hAnsiTheme="minorEastAsia"/>
          <w:b/>
          <w:snapToGrid w:val="0"/>
          <w:color w:val="000000"/>
          <w:spacing w:val="-4"/>
          <w:kern w:val="0"/>
          <w:sz w:val="28"/>
          <w:szCs w:val="28"/>
        </w:rPr>
      </w:pPr>
      <w:bookmarkStart w:id="310" w:name="_Toc30192"/>
      <w:bookmarkStart w:id="311" w:name="_Toc142640356"/>
      <w:bookmarkStart w:id="312" w:name="_Toc22495"/>
      <w:bookmarkStart w:id="313" w:name="_Toc11465"/>
      <w:r>
        <w:rPr>
          <w:rFonts w:hint="eastAsia" w:cs="宋体" w:asciiTheme="minorEastAsia" w:hAnsiTheme="minorEastAsia"/>
          <w:b/>
          <w:snapToGrid w:val="0"/>
          <w:color w:val="000000"/>
          <w:spacing w:val="-4"/>
          <w:kern w:val="0"/>
          <w:sz w:val="28"/>
          <w:szCs w:val="28"/>
        </w:rPr>
        <w:t>22.分时成交定义</w:t>
      </w:r>
      <w:bookmarkEnd w:id="310"/>
      <w:bookmarkEnd w:id="311"/>
      <w:bookmarkEnd w:id="312"/>
      <w:bookmarkEnd w:id="313"/>
    </w:p>
    <w:p w14:paraId="56557AFD">
      <w:pPr>
        <w:spacing w:line="360" w:lineRule="auto"/>
        <w:rPr>
          <w:rFonts w:cs="宋体" w:asciiTheme="minorEastAsia" w:hAnsiTheme="minorEastAsia"/>
          <w:snapToGrid w:val="0"/>
          <w:color w:val="000000"/>
          <w:spacing w:val="-4"/>
          <w:kern w:val="0"/>
          <w:sz w:val="28"/>
          <w:szCs w:val="28"/>
        </w:rPr>
      </w:pPr>
      <w:r>
        <w:rPr>
          <w:rFonts w:hint="eastAsia" w:cs="宋体" w:asciiTheme="minorEastAsia" w:hAnsiTheme="minorEastAsia"/>
          <w:snapToGrid w:val="0"/>
          <w:color w:val="000000"/>
          <w:spacing w:val="-4"/>
          <w:kern w:val="0"/>
          <w:sz w:val="28"/>
          <w:szCs w:val="28"/>
        </w:rPr>
        <w:t>双开：多空双方都开仓，持仓量增加。</w:t>
      </w:r>
    </w:p>
    <w:p w14:paraId="22158CE1">
      <w:pPr>
        <w:spacing w:line="360" w:lineRule="auto"/>
        <w:rPr>
          <w:rFonts w:cs="宋体" w:asciiTheme="minorEastAsia" w:hAnsiTheme="minorEastAsia"/>
          <w:snapToGrid w:val="0"/>
          <w:color w:val="000000"/>
          <w:spacing w:val="-4"/>
          <w:kern w:val="0"/>
          <w:sz w:val="28"/>
          <w:szCs w:val="28"/>
        </w:rPr>
      </w:pPr>
      <w:r>
        <w:rPr>
          <w:rFonts w:hint="eastAsia" w:cs="宋体" w:asciiTheme="minorEastAsia" w:hAnsiTheme="minorEastAsia"/>
          <w:snapToGrid w:val="0"/>
          <w:color w:val="000000"/>
          <w:spacing w:val="-4"/>
          <w:kern w:val="0"/>
          <w:sz w:val="28"/>
          <w:szCs w:val="28"/>
        </w:rPr>
        <w:t>双平：多空双方都平仓，持仓量减少。</w:t>
      </w:r>
    </w:p>
    <w:p w14:paraId="2CF2C1D5">
      <w:pPr>
        <w:spacing w:line="360" w:lineRule="auto"/>
        <w:rPr>
          <w:rFonts w:cs="宋体" w:asciiTheme="minorEastAsia" w:hAnsiTheme="minorEastAsia"/>
          <w:snapToGrid w:val="0"/>
          <w:color w:val="000000"/>
          <w:spacing w:val="-4"/>
          <w:kern w:val="0"/>
          <w:sz w:val="28"/>
          <w:szCs w:val="28"/>
        </w:rPr>
      </w:pPr>
      <w:r>
        <w:rPr>
          <w:rFonts w:hint="eastAsia" w:cs="宋体" w:asciiTheme="minorEastAsia" w:hAnsiTheme="minorEastAsia"/>
          <w:snapToGrid w:val="0"/>
          <w:color w:val="000000"/>
          <w:spacing w:val="-4"/>
          <w:kern w:val="0"/>
          <w:sz w:val="28"/>
          <w:szCs w:val="28"/>
        </w:rPr>
        <w:t>多换：原有多头卖出平仓，新多头买入开仓，持仓量不变。</w:t>
      </w:r>
    </w:p>
    <w:p w14:paraId="2893EBE2">
      <w:pPr>
        <w:spacing w:line="360" w:lineRule="auto"/>
        <w:rPr>
          <w:rFonts w:cs="宋体" w:asciiTheme="minorEastAsia" w:hAnsiTheme="minorEastAsia"/>
          <w:snapToGrid w:val="0"/>
          <w:color w:val="000000"/>
          <w:spacing w:val="-4"/>
          <w:kern w:val="0"/>
          <w:sz w:val="28"/>
          <w:szCs w:val="28"/>
        </w:rPr>
      </w:pPr>
      <w:r>
        <w:rPr>
          <w:rFonts w:hint="eastAsia" w:cs="宋体" w:asciiTheme="minorEastAsia" w:hAnsiTheme="minorEastAsia"/>
          <w:snapToGrid w:val="0"/>
          <w:color w:val="000000"/>
          <w:spacing w:val="-4"/>
          <w:kern w:val="0"/>
          <w:sz w:val="28"/>
          <w:szCs w:val="28"/>
        </w:rPr>
        <w:t>空换：原有空头买入平仓，新空头卖出开仓，持仓量不变。</w:t>
      </w:r>
    </w:p>
    <w:p w14:paraId="746F1D68">
      <w:pPr>
        <w:spacing w:line="360" w:lineRule="auto"/>
        <w:rPr>
          <w:rFonts w:cs="宋体" w:asciiTheme="minorEastAsia" w:hAnsiTheme="minorEastAsia"/>
          <w:snapToGrid w:val="0"/>
          <w:color w:val="000000"/>
          <w:spacing w:val="-4"/>
          <w:kern w:val="0"/>
          <w:sz w:val="28"/>
          <w:szCs w:val="28"/>
        </w:rPr>
      </w:pPr>
      <w:r>
        <w:rPr>
          <w:rFonts w:hint="eastAsia" w:cs="宋体" w:asciiTheme="minorEastAsia" w:hAnsiTheme="minorEastAsia"/>
          <w:snapToGrid w:val="0"/>
          <w:color w:val="000000"/>
          <w:spacing w:val="-4"/>
          <w:kern w:val="0"/>
          <w:sz w:val="28"/>
          <w:szCs w:val="28"/>
        </w:rPr>
        <w:t>多开：多笔委托成交集合。主动交易方以多头开仓为主。</w:t>
      </w:r>
    </w:p>
    <w:p w14:paraId="163502A4">
      <w:pPr>
        <w:spacing w:line="360" w:lineRule="auto"/>
        <w:rPr>
          <w:rFonts w:cs="宋体" w:asciiTheme="minorEastAsia" w:hAnsiTheme="minorEastAsia"/>
          <w:snapToGrid w:val="0"/>
          <w:color w:val="000000"/>
          <w:spacing w:val="-4"/>
          <w:kern w:val="0"/>
          <w:sz w:val="28"/>
          <w:szCs w:val="28"/>
        </w:rPr>
      </w:pPr>
      <w:r>
        <w:rPr>
          <w:rFonts w:hint="eastAsia" w:cs="宋体" w:asciiTheme="minorEastAsia" w:hAnsiTheme="minorEastAsia"/>
          <w:snapToGrid w:val="0"/>
          <w:color w:val="000000"/>
          <w:spacing w:val="-4"/>
          <w:kern w:val="0"/>
          <w:sz w:val="28"/>
          <w:szCs w:val="28"/>
        </w:rPr>
        <w:t>空开：多笔委托成交集合。主动交易方以空头开仓为主。</w:t>
      </w:r>
    </w:p>
    <w:p w14:paraId="6408A278">
      <w:pPr>
        <w:spacing w:line="360" w:lineRule="auto"/>
        <w:rPr>
          <w:rFonts w:cs="宋体" w:asciiTheme="minorEastAsia" w:hAnsiTheme="minorEastAsia"/>
          <w:snapToGrid w:val="0"/>
          <w:color w:val="000000"/>
          <w:spacing w:val="-4"/>
          <w:kern w:val="0"/>
          <w:sz w:val="28"/>
          <w:szCs w:val="28"/>
        </w:rPr>
      </w:pPr>
      <w:r>
        <w:rPr>
          <w:rFonts w:hint="eastAsia" w:cs="宋体" w:asciiTheme="minorEastAsia" w:hAnsiTheme="minorEastAsia"/>
          <w:snapToGrid w:val="0"/>
          <w:color w:val="000000"/>
          <w:spacing w:val="-4"/>
          <w:kern w:val="0"/>
          <w:sz w:val="28"/>
          <w:szCs w:val="28"/>
        </w:rPr>
        <w:t>多平：多笔委托成交集合。主动交易方以多头平仓为主。</w:t>
      </w:r>
    </w:p>
    <w:p w14:paraId="6261A30A">
      <w:pPr>
        <w:spacing w:line="360" w:lineRule="auto"/>
        <w:rPr>
          <w:rFonts w:cs="宋体" w:asciiTheme="minorEastAsia" w:hAnsiTheme="minorEastAsia"/>
          <w:snapToGrid w:val="0"/>
          <w:color w:val="000000"/>
          <w:spacing w:val="-4"/>
          <w:kern w:val="0"/>
          <w:sz w:val="28"/>
          <w:szCs w:val="28"/>
        </w:rPr>
      </w:pPr>
      <w:r>
        <w:rPr>
          <w:rFonts w:hint="eastAsia" w:cs="宋体" w:asciiTheme="minorEastAsia" w:hAnsiTheme="minorEastAsia"/>
          <w:snapToGrid w:val="0"/>
          <w:color w:val="000000"/>
          <w:spacing w:val="-4"/>
          <w:kern w:val="0"/>
          <w:sz w:val="28"/>
          <w:szCs w:val="28"/>
        </w:rPr>
        <w:t>空平：多笔委托成交集合。主动交易方以空头平仓为主。</w:t>
      </w:r>
    </w:p>
    <w:p w14:paraId="3247C12E">
      <w:pPr>
        <w:spacing w:line="360" w:lineRule="auto"/>
        <w:outlineLvl w:val="0"/>
        <w:rPr>
          <w:rFonts w:cs="宋体" w:asciiTheme="minorEastAsia" w:hAnsiTheme="minorEastAsia"/>
          <w:b/>
          <w:snapToGrid w:val="0"/>
          <w:color w:val="000000"/>
          <w:spacing w:val="-4"/>
          <w:kern w:val="0"/>
          <w:sz w:val="28"/>
          <w:szCs w:val="28"/>
        </w:rPr>
      </w:pPr>
      <w:bookmarkStart w:id="314" w:name="_Toc22214"/>
      <w:bookmarkStart w:id="315" w:name="_Toc142640357"/>
      <w:bookmarkStart w:id="316" w:name="_Toc6883"/>
      <w:bookmarkStart w:id="317" w:name="_Toc10035"/>
      <w:r>
        <w:rPr>
          <w:rFonts w:hint="eastAsia" w:cs="宋体" w:asciiTheme="minorEastAsia" w:hAnsiTheme="minorEastAsia"/>
          <w:b/>
          <w:snapToGrid w:val="0"/>
          <w:color w:val="000000"/>
          <w:spacing w:val="-4"/>
          <w:kern w:val="0"/>
          <w:sz w:val="28"/>
          <w:szCs w:val="28"/>
        </w:rPr>
        <w:t>23.集合竞价定义</w:t>
      </w:r>
      <w:bookmarkEnd w:id="314"/>
      <w:bookmarkEnd w:id="315"/>
      <w:bookmarkEnd w:id="316"/>
      <w:bookmarkEnd w:id="317"/>
    </w:p>
    <w:p w14:paraId="213D7522">
      <w:pPr>
        <w:spacing w:line="360" w:lineRule="auto"/>
        <w:rPr>
          <w:rFonts w:cs="宋体" w:asciiTheme="minorEastAsia" w:hAnsiTheme="minorEastAsia"/>
          <w:snapToGrid w:val="0"/>
          <w:color w:val="000000"/>
          <w:spacing w:val="-4"/>
          <w:kern w:val="0"/>
          <w:sz w:val="28"/>
          <w:szCs w:val="28"/>
        </w:rPr>
      </w:pPr>
      <w:r>
        <w:rPr>
          <w:rFonts w:hint="eastAsia" w:cs="宋体" w:asciiTheme="minorEastAsia" w:hAnsiTheme="minorEastAsia"/>
          <w:snapToGrid w:val="0"/>
          <w:color w:val="000000"/>
          <w:spacing w:val="-4"/>
          <w:kern w:val="0"/>
          <w:sz w:val="28"/>
          <w:szCs w:val="28"/>
        </w:rPr>
        <w:t>集合竞价指对一段时间内接收的买卖申报一次性集中撮合的竞价方式。集合竞价时，成交价格的确定原则为：</w:t>
      </w:r>
    </w:p>
    <w:p w14:paraId="6DD433A9">
      <w:pPr>
        <w:spacing w:line="360" w:lineRule="auto"/>
        <w:rPr>
          <w:rFonts w:cs="宋体" w:asciiTheme="minorEastAsia" w:hAnsiTheme="minorEastAsia"/>
          <w:snapToGrid w:val="0"/>
          <w:color w:val="000000"/>
          <w:spacing w:val="-4"/>
          <w:kern w:val="0"/>
          <w:sz w:val="28"/>
          <w:szCs w:val="28"/>
        </w:rPr>
      </w:pPr>
      <w:r>
        <w:rPr>
          <w:rFonts w:hint="eastAsia" w:cs="宋体" w:asciiTheme="minorEastAsia" w:hAnsiTheme="minorEastAsia"/>
          <w:snapToGrid w:val="0"/>
          <w:color w:val="000000"/>
          <w:spacing w:val="-4"/>
          <w:kern w:val="0"/>
          <w:sz w:val="28"/>
          <w:szCs w:val="28"/>
        </w:rPr>
        <w:t>(</w:t>
      </w:r>
      <w:r>
        <w:rPr>
          <w:rFonts w:hint="eastAsia" w:cs="宋体" w:asciiTheme="minorEastAsia" w:hAnsiTheme="minorEastAsia"/>
          <w:snapToGrid w:val="0"/>
          <w:color w:val="000000"/>
          <w:spacing w:val="-4"/>
          <w:kern w:val="0"/>
          <w:sz w:val="28"/>
          <w:szCs w:val="28"/>
          <w:lang w:eastAsia="en-US"/>
        </w:rPr>
        <w:t>1)</w:t>
      </w:r>
      <w:r>
        <w:rPr>
          <w:rFonts w:hint="eastAsia" w:cs="宋体" w:asciiTheme="minorEastAsia" w:hAnsiTheme="minorEastAsia"/>
          <w:snapToGrid w:val="0"/>
          <w:color w:val="000000"/>
          <w:spacing w:val="-4"/>
          <w:kern w:val="0"/>
          <w:sz w:val="28"/>
          <w:szCs w:val="28"/>
        </w:rPr>
        <w:t>可实现最大成交量的价格；</w:t>
      </w:r>
    </w:p>
    <w:p w14:paraId="1CAC315D">
      <w:pPr>
        <w:spacing w:line="360" w:lineRule="auto"/>
        <w:rPr>
          <w:rFonts w:cs="宋体" w:asciiTheme="minorEastAsia" w:hAnsiTheme="minorEastAsia"/>
          <w:snapToGrid w:val="0"/>
          <w:color w:val="000000"/>
          <w:spacing w:val="-4"/>
          <w:kern w:val="0"/>
          <w:sz w:val="28"/>
          <w:szCs w:val="28"/>
        </w:rPr>
      </w:pPr>
      <w:r>
        <w:rPr>
          <w:rFonts w:hint="eastAsia" w:cs="宋体" w:asciiTheme="minorEastAsia" w:hAnsiTheme="minorEastAsia"/>
          <w:snapToGrid w:val="0"/>
          <w:color w:val="000000"/>
          <w:spacing w:val="-4"/>
          <w:kern w:val="0"/>
          <w:sz w:val="28"/>
          <w:szCs w:val="28"/>
        </w:rPr>
        <w:t>(2</w:t>
      </w:r>
      <w:r>
        <w:rPr>
          <w:rFonts w:hint="eastAsia" w:cs="宋体" w:asciiTheme="minorEastAsia" w:hAnsiTheme="minorEastAsia"/>
          <w:snapToGrid w:val="0"/>
          <w:color w:val="000000"/>
          <w:spacing w:val="-4"/>
          <w:kern w:val="0"/>
          <w:sz w:val="28"/>
          <w:szCs w:val="28"/>
          <w:lang w:eastAsia="en-US"/>
        </w:rPr>
        <w:t>)</w:t>
      </w:r>
      <w:r>
        <w:rPr>
          <w:rFonts w:hint="eastAsia" w:cs="宋体" w:asciiTheme="minorEastAsia" w:hAnsiTheme="minorEastAsia"/>
          <w:snapToGrid w:val="0"/>
          <w:color w:val="000000"/>
          <w:spacing w:val="-4"/>
          <w:kern w:val="0"/>
          <w:sz w:val="28"/>
          <w:szCs w:val="28"/>
        </w:rPr>
        <w:t>高于该价格的买入申报与低于该价格的卖出申报全部成交的价格；</w:t>
      </w:r>
    </w:p>
    <w:p w14:paraId="12B5779D">
      <w:pPr>
        <w:spacing w:line="360" w:lineRule="auto"/>
        <w:rPr>
          <w:rFonts w:cs="宋体" w:asciiTheme="minorEastAsia" w:hAnsiTheme="minorEastAsia"/>
          <w:snapToGrid w:val="0"/>
          <w:color w:val="000000"/>
          <w:spacing w:val="-4"/>
          <w:kern w:val="0"/>
          <w:sz w:val="28"/>
          <w:szCs w:val="28"/>
        </w:rPr>
      </w:pPr>
      <w:r>
        <w:rPr>
          <w:rFonts w:hint="eastAsia" w:cs="宋体" w:asciiTheme="minorEastAsia" w:hAnsiTheme="minorEastAsia"/>
          <w:snapToGrid w:val="0"/>
          <w:color w:val="000000"/>
          <w:spacing w:val="-4"/>
          <w:kern w:val="0"/>
          <w:sz w:val="28"/>
          <w:szCs w:val="28"/>
        </w:rPr>
        <w:t>(3</w:t>
      </w:r>
      <w:r>
        <w:rPr>
          <w:rFonts w:hint="eastAsia" w:cs="宋体" w:asciiTheme="minorEastAsia" w:hAnsiTheme="minorEastAsia"/>
          <w:snapToGrid w:val="0"/>
          <w:color w:val="000000"/>
          <w:spacing w:val="-4"/>
          <w:kern w:val="0"/>
          <w:sz w:val="28"/>
          <w:szCs w:val="28"/>
          <w:lang w:eastAsia="en-US"/>
        </w:rPr>
        <w:t>)</w:t>
      </w:r>
      <w:r>
        <w:rPr>
          <w:rFonts w:hint="eastAsia" w:cs="宋体" w:asciiTheme="minorEastAsia" w:hAnsiTheme="minorEastAsia"/>
          <w:snapToGrid w:val="0"/>
          <w:color w:val="000000"/>
          <w:spacing w:val="-4"/>
          <w:kern w:val="0"/>
          <w:sz w:val="28"/>
          <w:szCs w:val="28"/>
        </w:rPr>
        <w:t>与该价格相同的买方或卖方至少有一方全部成交的价格。</w:t>
      </w:r>
    </w:p>
    <w:p w14:paraId="7E8CA614">
      <w:pPr>
        <w:spacing w:line="360" w:lineRule="auto"/>
        <w:rPr>
          <w:rFonts w:cs="宋体" w:asciiTheme="minorEastAsia" w:hAnsiTheme="minorEastAsia"/>
          <w:snapToGrid w:val="0"/>
          <w:color w:val="000000"/>
          <w:spacing w:val="-4"/>
          <w:kern w:val="0"/>
          <w:sz w:val="28"/>
          <w:szCs w:val="28"/>
        </w:rPr>
      </w:pPr>
      <w:r>
        <w:rPr>
          <w:rFonts w:hint="eastAsia" w:cs="宋体" w:asciiTheme="minorEastAsia" w:hAnsiTheme="minorEastAsia"/>
          <w:snapToGrid w:val="0"/>
          <w:color w:val="000000"/>
          <w:spacing w:val="-4"/>
          <w:kern w:val="0"/>
          <w:sz w:val="28"/>
          <w:szCs w:val="28"/>
        </w:rPr>
        <w:t>两个以上申报价格符合上述条件的，使未成交量最小的申报价格为成交价格。仍有两个以上使未成交量最小的申报价格符合上述条件的，其中间价为成交价格。集合竞价的所有交易以同一价格成交。</w:t>
      </w:r>
    </w:p>
    <w:p w14:paraId="7E8A513A">
      <w:pPr>
        <w:spacing w:line="360" w:lineRule="auto"/>
        <w:outlineLvl w:val="0"/>
        <w:rPr>
          <w:rFonts w:cs="宋体" w:asciiTheme="minorEastAsia" w:hAnsiTheme="minorEastAsia"/>
          <w:b/>
          <w:snapToGrid w:val="0"/>
          <w:color w:val="000000"/>
          <w:spacing w:val="-4"/>
          <w:kern w:val="0"/>
          <w:sz w:val="28"/>
          <w:szCs w:val="28"/>
        </w:rPr>
      </w:pPr>
      <w:bookmarkStart w:id="318" w:name="_Toc142640358"/>
      <w:bookmarkStart w:id="319" w:name="_Toc7870"/>
      <w:bookmarkStart w:id="320" w:name="_Toc24500"/>
      <w:bookmarkStart w:id="321" w:name="_Toc4968"/>
      <w:r>
        <w:rPr>
          <w:rFonts w:hint="eastAsia" w:cs="宋体" w:asciiTheme="minorEastAsia" w:hAnsiTheme="minorEastAsia"/>
          <w:b/>
          <w:snapToGrid w:val="0"/>
          <w:color w:val="000000"/>
          <w:spacing w:val="-4"/>
          <w:kern w:val="0"/>
          <w:sz w:val="28"/>
          <w:szCs w:val="28"/>
        </w:rPr>
        <w:t>24.下单方式</w:t>
      </w:r>
      <w:bookmarkEnd w:id="318"/>
      <w:bookmarkEnd w:id="319"/>
      <w:bookmarkEnd w:id="320"/>
      <w:bookmarkEnd w:id="321"/>
    </w:p>
    <w:p w14:paraId="266BF5CD">
      <w:pPr>
        <w:spacing w:line="360" w:lineRule="auto"/>
        <w:rPr>
          <w:rFonts w:cs="宋体" w:asciiTheme="minorEastAsia" w:hAnsiTheme="minorEastAsia"/>
          <w:snapToGrid w:val="0"/>
          <w:color w:val="000000"/>
          <w:spacing w:val="-4"/>
          <w:kern w:val="0"/>
          <w:sz w:val="28"/>
          <w:szCs w:val="28"/>
        </w:rPr>
      </w:pPr>
      <w:r>
        <w:rPr>
          <w:rFonts w:hint="eastAsia" w:cs="宋体" w:asciiTheme="minorEastAsia" w:hAnsiTheme="minorEastAsia"/>
          <w:snapToGrid w:val="0"/>
          <w:color w:val="000000"/>
          <w:spacing w:val="-4"/>
          <w:kern w:val="0"/>
          <w:sz w:val="28"/>
          <w:szCs w:val="28"/>
        </w:rPr>
        <w:t>常见下单方式为登录手机或电脑交易软件下单。如遇特殊情况，可通过拨打我司客户交易风控部电话</w:t>
      </w:r>
      <w:r>
        <w:rPr>
          <w:rFonts w:cs="宋体" w:asciiTheme="minorEastAsia" w:hAnsiTheme="minorEastAsia"/>
          <w:snapToGrid w:val="0"/>
          <w:color w:val="000000"/>
          <w:spacing w:val="-4"/>
          <w:kern w:val="0"/>
          <w:sz w:val="28"/>
          <w:szCs w:val="28"/>
        </w:rPr>
        <w:t>021-68864551/021-6886531</w:t>
      </w:r>
      <w:r>
        <w:rPr>
          <w:rFonts w:hint="eastAsia" w:cs="宋体" w:asciiTheme="minorEastAsia" w:hAnsiTheme="minorEastAsia"/>
          <w:snapToGrid w:val="0"/>
          <w:color w:val="000000"/>
          <w:spacing w:val="-4"/>
          <w:kern w:val="0"/>
          <w:sz w:val="28"/>
          <w:szCs w:val="28"/>
        </w:rPr>
        <w:t>7委托下单。</w:t>
      </w:r>
    </w:p>
    <w:p w14:paraId="115EBC78">
      <w:pPr>
        <w:spacing w:line="360" w:lineRule="auto"/>
        <w:outlineLvl w:val="0"/>
        <w:rPr>
          <w:rFonts w:cs="宋体" w:asciiTheme="minorEastAsia" w:hAnsiTheme="minorEastAsia"/>
          <w:b/>
          <w:snapToGrid w:val="0"/>
          <w:color w:val="000000"/>
          <w:spacing w:val="-4"/>
          <w:kern w:val="0"/>
          <w:sz w:val="28"/>
          <w:szCs w:val="28"/>
        </w:rPr>
      </w:pPr>
      <w:bookmarkStart w:id="322" w:name="_Toc9791"/>
      <w:bookmarkStart w:id="323" w:name="_Toc142640359"/>
      <w:bookmarkStart w:id="324" w:name="_Toc14811"/>
      <w:bookmarkStart w:id="325" w:name="_Toc9465"/>
      <w:r>
        <w:rPr>
          <w:rFonts w:hint="eastAsia" w:cs="宋体" w:asciiTheme="minorEastAsia" w:hAnsiTheme="minorEastAsia"/>
          <w:b/>
          <w:snapToGrid w:val="0"/>
          <w:color w:val="000000"/>
          <w:spacing w:val="-4"/>
          <w:kern w:val="0"/>
          <w:sz w:val="28"/>
          <w:szCs w:val="28"/>
        </w:rPr>
        <w:t>25.条件单/止损止盈</w:t>
      </w:r>
      <w:bookmarkEnd w:id="322"/>
      <w:bookmarkEnd w:id="323"/>
      <w:bookmarkEnd w:id="324"/>
      <w:bookmarkEnd w:id="325"/>
    </w:p>
    <w:p w14:paraId="0B8FEBFA">
      <w:pPr>
        <w:spacing w:line="360" w:lineRule="auto"/>
        <w:rPr>
          <w:rFonts w:cs="宋体" w:asciiTheme="minorEastAsia" w:hAnsiTheme="minorEastAsia"/>
          <w:snapToGrid w:val="0"/>
          <w:color w:val="000000"/>
          <w:spacing w:val="-4"/>
          <w:kern w:val="0"/>
          <w:sz w:val="28"/>
          <w:szCs w:val="28"/>
        </w:rPr>
      </w:pPr>
      <w:r>
        <w:rPr>
          <w:rFonts w:hint="eastAsia" w:cs="宋体" w:asciiTheme="minorEastAsia" w:hAnsiTheme="minorEastAsia"/>
          <w:snapToGrid w:val="0"/>
          <w:color w:val="000000"/>
          <w:spacing w:val="-4"/>
          <w:kern w:val="0"/>
          <w:sz w:val="28"/>
          <w:szCs w:val="28"/>
        </w:rPr>
        <w:t>条件单是我司交易软件提供的智能交易服务，根据投资者预设的交易策略和触发条件，实现自动盯盘，自动下单的功能。条件单储存于云端服务器并由云端服务器监控运行。故使用前必须注册云认证账号，并和交易账号绑定。</w:t>
      </w:r>
    </w:p>
    <w:p w14:paraId="4EEA6916">
      <w:pPr>
        <w:spacing w:line="360" w:lineRule="auto"/>
        <w:outlineLvl w:val="0"/>
        <w:rPr>
          <w:rFonts w:hint="eastAsia" w:cs="宋体" w:asciiTheme="minorEastAsia" w:hAnsiTheme="minorEastAsia" w:eastAsiaTheme="minorEastAsia"/>
          <w:b/>
          <w:snapToGrid w:val="0"/>
          <w:color w:val="000000"/>
          <w:spacing w:val="-4"/>
          <w:kern w:val="0"/>
          <w:sz w:val="28"/>
          <w:szCs w:val="28"/>
          <w:lang w:eastAsia="zh-CN"/>
        </w:rPr>
      </w:pPr>
      <w:bookmarkStart w:id="326" w:name="_Toc142640360"/>
      <w:bookmarkStart w:id="327" w:name="_Toc10543"/>
      <w:bookmarkStart w:id="328" w:name="_Toc11045"/>
      <w:bookmarkStart w:id="329" w:name="_Toc28616"/>
      <w:r>
        <w:rPr>
          <w:rFonts w:hint="eastAsia" w:cs="宋体" w:asciiTheme="minorEastAsia" w:hAnsiTheme="minorEastAsia"/>
          <w:b/>
          <w:snapToGrid w:val="0"/>
          <w:color w:val="000000"/>
          <w:spacing w:val="-4"/>
          <w:kern w:val="0"/>
          <w:sz w:val="28"/>
          <w:szCs w:val="28"/>
        </w:rPr>
        <w:t>26.条件单有效期多久</w:t>
      </w:r>
      <w:bookmarkEnd w:id="326"/>
      <w:bookmarkEnd w:id="327"/>
      <w:bookmarkEnd w:id="328"/>
      <w:bookmarkEnd w:id="329"/>
    </w:p>
    <w:p w14:paraId="7E9C7F79">
      <w:pPr>
        <w:spacing w:line="360" w:lineRule="auto"/>
        <w:rPr>
          <w:rFonts w:cs="宋体" w:asciiTheme="minorEastAsia" w:hAnsiTheme="minorEastAsia"/>
          <w:snapToGrid w:val="0"/>
          <w:color w:val="000000"/>
          <w:spacing w:val="-4"/>
          <w:kern w:val="0"/>
          <w:sz w:val="28"/>
          <w:szCs w:val="28"/>
        </w:rPr>
      </w:pPr>
      <w:r>
        <w:rPr>
          <w:rFonts w:hint="eastAsia" w:cs="宋体" w:asciiTheme="minorEastAsia" w:hAnsiTheme="minorEastAsia"/>
          <w:snapToGrid w:val="0"/>
          <w:color w:val="000000"/>
          <w:spacing w:val="-4"/>
          <w:kern w:val="0"/>
          <w:sz w:val="28"/>
          <w:szCs w:val="28"/>
        </w:rPr>
        <w:t>条件单有效期可设置根据客户需要设置，默认当日有效。</w:t>
      </w:r>
    </w:p>
    <w:p w14:paraId="600FCEEF">
      <w:pPr>
        <w:spacing w:line="360" w:lineRule="auto"/>
        <w:outlineLvl w:val="0"/>
        <w:rPr>
          <w:rFonts w:cs="宋体" w:asciiTheme="minorEastAsia" w:hAnsiTheme="minorEastAsia"/>
          <w:b/>
          <w:snapToGrid w:val="0"/>
          <w:color w:val="000000"/>
          <w:spacing w:val="-4"/>
          <w:kern w:val="0"/>
          <w:sz w:val="28"/>
          <w:szCs w:val="28"/>
        </w:rPr>
      </w:pPr>
      <w:bookmarkStart w:id="330" w:name="_Toc142640361"/>
      <w:bookmarkStart w:id="331" w:name="_Toc27897"/>
      <w:bookmarkStart w:id="332" w:name="_Toc1608"/>
      <w:bookmarkStart w:id="333" w:name="_Toc28600"/>
      <w:r>
        <w:rPr>
          <w:rFonts w:hint="eastAsia" w:cs="宋体" w:asciiTheme="minorEastAsia" w:hAnsiTheme="minorEastAsia"/>
          <w:b/>
          <w:snapToGrid w:val="0"/>
          <w:color w:val="000000"/>
          <w:spacing w:val="-4"/>
          <w:kern w:val="0"/>
          <w:sz w:val="28"/>
          <w:szCs w:val="28"/>
        </w:rPr>
        <w:t>27.结算账单查询</w:t>
      </w:r>
      <w:bookmarkEnd w:id="330"/>
      <w:bookmarkEnd w:id="331"/>
      <w:bookmarkEnd w:id="332"/>
      <w:bookmarkEnd w:id="333"/>
    </w:p>
    <w:p w14:paraId="0F2D227C">
      <w:pPr>
        <w:spacing w:line="360" w:lineRule="auto"/>
        <w:rPr>
          <w:rFonts w:cs="宋体" w:asciiTheme="minorEastAsia" w:hAnsiTheme="minorEastAsia"/>
          <w:snapToGrid w:val="0"/>
          <w:color w:val="000000"/>
          <w:spacing w:val="-4"/>
          <w:kern w:val="0"/>
          <w:sz w:val="28"/>
          <w:szCs w:val="28"/>
        </w:rPr>
      </w:pPr>
      <w:r>
        <w:rPr>
          <w:rFonts w:hint="eastAsia" w:cs="宋体" w:asciiTheme="minorEastAsia" w:hAnsiTheme="minorEastAsia"/>
          <w:snapToGrid w:val="0"/>
          <w:color w:val="000000"/>
          <w:spacing w:val="-4"/>
          <w:kern w:val="0"/>
          <w:sz w:val="28"/>
          <w:szCs w:val="28"/>
        </w:rPr>
        <w:t>期货结算单是期货在结算时，指根据交易结果和交易所有关规定对会员交易保证金、盈亏、手续费、交割货款及其它有关款项进行计算、划拨的业务活动后，形成的单据，也就是结算账单。可通过交易软件或登录期货监控中心查询。</w:t>
      </w:r>
    </w:p>
    <w:p w14:paraId="617EC15A">
      <w:pPr>
        <w:spacing w:line="360" w:lineRule="auto"/>
        <w:outlineLvl w:val="0"/>
        <w:rPr>
          <w:rFonts w:hint="eastAsia" w:cs="宋体" w:asciiTheme="minorEastAsia" w:hAnsiTheme="minorEastAsia" w:eastAsiaTheme="minorEastAsia"/>
          <w:b/>
          <w:snapToGrid w:val="0"/>
          <w:color w:val="000000"/>
          <w:spacing w:val="-4"/>
          <w:kern w:val="0"/>
          <w:sz w:val="28"/>
          <w:szCs w:val="28"/>
          <w:lang w:eastAsia="zh-CN"/>
        </w:rPr>
      </w:pPr>
      <w:bookmarkStart w:id="334" w:name="_Toc18846"/>
      <w:bookmarkStart w:id="335" w:name="_Toc12536"/>
      <w:bookmarkStart w:id="336" w:name="_Toc17838"/>
      <w:bookmarkStart w:id="337" w:name="_Toc142640362"/>
      <w:r>
        <w:rPr>
          <w:rFonts w:hint="eastAsia" w:cs="宋体" w:asciiTheme="minorEastAsia" w:hAnsiTheme="minorEastAsia"/>
          <w:b/>
          <w:snapToGrid w:val="0"/>
          <w:color w:val="000000"/>
          <w:spacing w:val="-4"/>
          <w:kern w:val="0"/>
          <w:sz w:val="28"/>
          <w:szCs w:val="28"/>
        </w:rPr>
        <w:t>28.期货监控中心是什么</w:t>
      </w:r>
      <w:bookmarkEnd w:id="334"/>
      <w:bookmarkEnd w:id="335"/>
      <w:bookmarkEnd w:id="336"/>
      <w:bookmarkEnd w:id="337"/>
    </w:p>
    <w:p w14:paraId="172FA1D3">
      <w:pPr>
        <w:spacing w:line="360" w:lineRule="auto"/>
        <w:rPr>
          <w:rFonts w:cs="宋体" w:asciiTheme="minorEastAsia" w:hAnsiTheme="minorEastAsia"/>
          <w:snapToGrid w:val="0"/>
          <w:color w:val="000000"/>
          <w:spacing w:val="-4"/>
          <w:kern w:val="0"/>
          <w:sz w:val="28"/>
          <w:szCs w:val="28"/>
        </w:rPr>
      </w:pPr>
      <w:r>
        <w:rPr>
          <w:rFonts w:hint="eastAsia" w:cs="宋体" w:asciiTheme="minorEastAsia" w:hAnsiTheme="minorEastAsia"/>
          <w:snapToGrid w:val="0"/>
          <w:color w:val="000000"/>
          <w:spacing w:val="-4"/>
          <w:kern w:val="0"/>
          <w:sz w:val="28"/>
          <w:szCs w:val="28"/>
        </w:rPr>
        <w:t>中国期货市场监控中心是证监会提请，经国务院同意而设立的期货市场监控和分析机构，主要为投资者提供交易结算查询及其他服务，并对期货市场实施全方位监测，及时防范个体性风险和系统性风险。</w:t>
      </w:r>
    </w:p>
    <w:p w14:paraId="29851CA4">
      <w:pPr>
        <w:spacing w:line="360" w:lineRule="auto"/>
        <w:outlineLvl w:val="0"/>
        <w:rPr>
          <w:rFonts w:cs="宋体" w:asciiTheme="minorEastAsia" w:hAnsiTheme="minorEastAsia"/>
          <w:b/>
          <w:snapToGrid w:val="0"/>
          <w:color w:val="000000"/>
          <w:spacing w:val="-4"/>
          <w:kern w:val="0"/>
          <w:sz w:val="28"/>
          <w:szCs w:val="28"/>
        </w:rPr>
      </w:pPr>
      <w:bookmarkStart w:id="338" w:name="_Toc7661"/>
      <w:bookmarkStart w:id="339" w:name="_Toc142640363"/>
      <w:bookmarkStart w:id="340" w:name="_Toc5971"/>
      <w:bookmarkStart w:id="341" w:name="_Toc7174"/>
      <w:r>
        <w:rPr>
          <w:rFonts w:hint="eastAsia" w:cs="宋体" w:asciiTheme="minorEastAsia" w:hAnsiTheme="minorEastAsia"/>
          <w:b/>
          <w:snapToGrid w:val="0"/>
          <w:color w:val="000000"/>
          <w:spacing w:val="-4"/>
          <w:kern w:val="0"/>
          <w:sz w:val="28"/>
          <w:szCs w:val="28"/>
        </w:rPr>
        <w:t>29.划线功能定义</w:t>
      </w:r>
      <w:bookmarkEnd w:id="338"/>
      <w:bookmarkEnd w:id="339"/>
      <w:bookmarkEnd w:id="340"/>
      <w:bookmarkEnd w:id="341"/>
    </w:p>
    <w:p w14:paraId="16193E71">
      <w:pPr>
        <w:spacing w:line="360" w:lineRule="auto"/>
        <w:rPr>
          <w:rFonts w:cs="宋体" w:asciiTheme="minorEastAsia" w:hAnsiTheme="minorEastAsia"/>
          <w:snapToGrid w:val="0"/>
          <w:color w:val="000000"/>
          <w:spacing w:val="-4"/>
          <w:kern w:val="0"/>
          <w:sz w:val="28"/>
          <w:szCs w:val="28"/>
        </w:rPr>
      </w:pPr>
      <w:r>
        <w:rPr>
          <w:rFonts w:hint="eastAsia" w:cs="宋体" w:asciiTheme="minorEastAsia" w:hAnsiTheme="minorEastAsia"/>
          <w:snapToGrid w:val="0"/>
          <w:color w:val="000000"/>
          <w:spacing w:val="-4"/>
          <w:kern w:val="0"/>
          <w:sz w:val="28"/>
          <w:szCs w:val="28"/>
        </w:rPr>
        <w:t>划线功能是通过手工添加辅助线进行技术分析的软件功能。</w:t>
      </w:r>
    </w:p>
    <w:p w14:paraId="268C037E">
      <w:pPr>
        <w:spacing w:line="360" w:lineRule="auto"/>
        <w:outlineLvl w:val="0"/>
        <w:rPr>
          <w:rFonts w:hint="eastAsia" w:cs="宋体" w:asciiTheme="minorEastAsia" w:hAnsiTheme="minorEastAsia" w:eastAsiaTheme="minorEastAsia"/>
          <w:b/>
          <w:snapToGrid w:val="0"/>
          <w:color w:val="000000"/>
          <w:spacing w:val="-4"/>
          <w:kern w:val="0"/>
          <w:sz w:val="28"/>
          <w:szCs w:val="28"/>
          <w:lang w:eastAsia="zh-CN"/>
        </w:rPr>
      </w:pPr>
      <w:bookmarkStart w:id="342" w:name="_Toc30523"/>
      <w:bookmarkStart w:id="343" w:name="_Toc142640364"/>
      <w:bookmarkStart w:id="344" w:name="_Toc31939"/>
      <w:bookmarkStart w:id="345" w:name="_Toc27627"/>
      <w:r>
        <w:rPr>
          <w:rFonts w:hint="eastAsia" w:cs="宋体" w:asciiTheme="minorEastAsia" w:hAnsiTheme="minorEastAsia"/>
          <w:b/>
          <w:snapToGrid w:val="0"/>
          <w:color w:val="000000"/>
          <w:spacing w:val="-4"/>
          <w:kern w:val="0"/>
          <w:sz w:val="28"/>
          <w:szCs w:val="28"/>
        </w:rPr>
        <w:t>30.我司可以交易外盘及现货品种吗</w:t>
      </w:r>
      <w:bookmarkEnd w:id="342"/>
      <w:bookmarkEnd w:id="343"/>
      <w:bookmarkEnd w:id="344"/>
      <w:bookmarkEnd w:id="345"/>
    </w:p>
    <w:p w14:paraId="6A004CCA">
      <w:pPr>
        <w:spacing w:line="360" w:lineRule="auto"/>
        <w:rPr>
          <w:rFonts w:cs="宋体" w:asciiTheme="minorEastAsia" w:hAnsiTheme="minorEastAsia"/>
          <w:snapToGrid w:val="0"/>
          <w:color w:val="000000"/>
          <w:spacing w:val="-4"/>
          <w:kern w:val="0"/>
          <w:sz w:val="28"/>
          <w:szCs w:val="28"/>
        </w:rPr>
      </w:pPr>
      <w:r>
        <w:rPr>
          <w:rFonts w:hint="eastAsia" w:cs="宋体" w:asciiTheme="minorEastAsia" w:hAnsiTheme="minorEastAsia"/>
          <w:snapToGrid w:val="0"/>
          <w:color w:val="000000"/>
          <w:spacing w:val="-4"/>
          <w:kern w:val="0"/>
          <w:sz w:val="28"/>
          <w:szCs w:val="28"/>
        </w:rPr>
        <w:t>我司经营范围为国内商品期货经纪业务和金融期货经纪业务，暂不支持外盘及现货交易。</w:t>
      </w:r>
    </w:p>
    <w:p w14:paraId="52283C98">
      <w:pPr>
        <w:spacing w:line="360" w:lineRule="auto"/>
        <w:outlineLvl w:val="0"/>
        <w:rPr>
          <w:rFonts w:hint="eastAsia" w:cs="宋体" w:asciiTheme="minorEastAsia" w:hAnsiTheme="minorEastAsia" w:eastAsiaTheme="minorEastAsia"/>
          <w:b/>
          <w:snapToGrid w:val="0"/>
          <w:color w:val="000000"/>
          <w:spacing w:val="-4"/>
          <w:kern w:val="0"/>
          <w:sz w:val="28"/>
          <w:szCs w:val="28"/>
          <w:lang w:eastAsia="zh-CN"/>
        </w:rPr>
      </w:pPr>
      <w:bookmarkStart w:id="346" w:name="_Toc2849"/>
      <w:bookmarkStart w:id="347" w:name="_Toc13278"/>
      <w:bookmarkStart w:id="348" w:name="_Toc15132"/>
      <w:bookmarkStart w:id="349" w:name="_Toc142640365"/>
      <w:r>
        <w:rPr>
          <w:rFonts w:hint="eastAsia" w:cs="宋体" w:asciiTheme="minorEastAsia" w:hAnsiTheme="minorEastAsia"/>
          <w:b/>
          <w:snapToGrid w:val="0"/>
          <w:color w:val="000000"/>
          <w:spacing w:val="-4"/>
          <w:kern w:val="0"/>
          <w:sz w:val="28"/>
          <w:szCs w:val="28"/>
        </w:rPr>
        <w:t>31.锁仓、套利的保证金收取规则是什么</w:t>
      </w:r>
      <w:bookmarkEnd w:id="346"/>
      <w:bookmarkEnd w:id="347"/>
      <w:bookmarkEnd w:id="348"/>
      <w:bookmarkEnd w:id="349"/>
    </w:p>
    <w:p w14:paraId="4D6A3E06">
      <w:pPr>
        <w:spacing w:line="360" w:lineRule="auto"/>
        <w:rPr>
          <w:rFonts w:cs="宋体" w:asciiTheme="minorEastAsia" w:hAnsiTheme="minorEastAsia"/>
          <w:snapToGrid w:val="0"/>
          <w:color w:val="000000"/>
          <w:spacing w:val="-4"/>
          <w:kern w:val="0"/>
          <w:sz w:val="28"/>
          <w:szCs w:val="28"/>
        </w:rPr>
      </w:pPr>
      <w:r>
        <w:rPr>
          <w:rFonts w:hint="eastAsia" w:cs="宋体" w:asciiTheme="minorEastAsia" w:hAnsiTheme="minorEastAsia"/>
          <w:snapToGrid w:val="0"/>
          <w:color w:val="000000"/>
          <w:spacing w:val="-4"/>
          <w:kern w:val="0"/>
          <w:sz w:val="28"/>
          <w:szCs w:val="28"/>
        </w:rPr>
        <w:t>中金所、上期所、能源中心锁仓（含套利）盘中实时收取单向大边保证金，大商所、郑商所锁仓保证金盘中双边收取，结算后按单向大边收取。大商所、郑商所如使用交易所现有套利指令则盘中实时收取单向大边保证金。</w:t>
      </w:r>
    </w:p>
    <w:p w14:paraId="347E719F">
      <w:pPr>
        <w:spacing w:line="360" w:lineRule="auto"/>
        <w:outlineLvl w:val="0"/>
        <w:rPr>
          <w:rFonts w:cs="宋体" w:asciiTheme="minorEastAsia" w:hAnsiTheme="minorEastAsia"/>
          <w:b/>
          <w:snapToGrid w:val="0"/>
          <w:color w:val="000000"/>
          <w:spacing w:val="-4"/>
          <w:kern w:val="0"/>
          <w:sz w:val="28"/>
          <w:szCs w:val="28"/>
        </w:rPr>
      </w:pPr>
      <w:bookmarkStart w:id="350" w:name="_Toc142640366"/>
      <w:bookmarkStart w:id="351" w:name="_Toc31442"/>
      <w:bookmarkStart w:id="352" w:name="_Toc25846"/>
      <w:bookmarkStart w:id="353" w:name="_Toc6209"/>
      <w:r>
        <w:rPr>
          <w:rFonts w:hint="eastAsia" w:cs="宋体" w:asciiTheme="minorEastAsia" w:hAnsiTheme="minorEastAsia"/>
          <w:b/>
          <w:snapToGrid w:val="0"/>
          <w:color w:val="000000"/>
          <w:spacing w:val="-4"/>
          <w:kern w:val="0"/>
          <w:sz w:val="28"/>
          <w:szCs w:val="28"/>
        </w:rPr>
        <w:t>32.爆仓（穿仓）定义</w:t>
      </w:r>
      <w:bookmarkEnd w:id="350"/>
      <w:bookmarkEnd w:id="351"/>
      <w:bookmarkEnd w:id="352"/>
      <w:bookmarkEnd w:id="353"/>
    </w:p>
    <w:p w14:paraId="2382DA5C">
      <w:pPr>
        <w:spacing w:line="360" w:lineRule="auto"/>
        <w:rPr>
          <w:rFonts w:cs="宋体" w:asciiTheme="minorEastAsia" w:hAnsiTheme="minorEastAsia"/>
          <w:snapToGrid w:val="0"/>
          <w:color w:val="000000"/>
          <w:spacing w:val="-4"/>
          <w:kern w:val="0"/>
          <w:sz w:val="28"/>
          <w:szCs w:val="28"/>
        </w:rPr>
      </w:pPr>
      <w:r>
        <w:rPr>
          <w:rFonts w:hint="eastAsia" w:cs="宋体" w:asciiTheme="minorEastAsia" w:hAnsiTheme="minorEastAsia"/>
          <w:snapToGrid w:val="0"/>
          <w:color w:val="000000"/>
          <w:spacing w:val="-4"/>
          <w:kern w:val="0"/>
          <w:sz w:val="28"/>
          <w:szCs w:val="28"/>
        </w:rPr>
        <w:t>爆仓是指客户账户权益为负值，已构成对我司的欠款。客户应当及时补足账户欠款，否则我司有权通过法律途径向客户进行追偿。</w:t>
      </w:r>
    </w:p>
    <w:p w14:paraId="1BF26656">
      <w:pPr>
        <w:spacing w:line="360" w:lineRule="auto"/>
        <w:outlineLvl w:val="0"/>
        <w:rPr>
          <w:rFonts w:hint="eastAsia" w:cs="宋体" w:asciiTheme="minorEastAsia" w:hAnsiTheme="minorEastAsia" w:eastAsiaTheme="minorEastAsia"/>
          <w:b/>
          <w:snapToGrid w:val="0"/>
          <w:color w:val="000000"/>
          <w:spacing w:val="-4"/>
          <w:kern w:val="0"/>
          <w:sz w:val="28"/>
          <w:szCs w:val="28"/>
          <w:lang w:eastAsia="zh-CN"/>
        </w:rPr>
      </w:pPr>
      <w:bookmarkStart w:id="354" w:name="_Toc101"/>
      <w:bookmarkStart w:id="355" w:name="_Toc142640367"/>
      <w:bookmarkStart w:id="356" w:name="_Toc14144"/>
      <w:bookmarkStart w:id="357" w:name="_Toc17563"/>
      <w:r>
        <w:rPr>
          <w:rFonts w:hint="eastAsia" w:cs="宋体" w:asciiTheme="minorEastAsia" w:hAnsiTheme="minorEastAsia"/>
          <w:b/>
          <w:snapToGrid w:val="0"/>
          <w:color w:val="000000"/>
          <w:spacing w:val="-4"/>
          <w:kern w:val="0"/>
          <w:sz w:val="28"/>
          <w:szCs w:val="28"/>
        </w:rPr>
        <w:t>33.爆仓要赔钱吗</w:t>
      </w:r>
      <w:bookmarkEnd w:id="354"/>
      <w:bookmarkEnd w:id="355"/>
      <w:bookmarkEnd w:id="356"/>
      <w:bookmarkEnd w:id="357"/>
    </w:p>
    <w:p w14:paraId="1E6AD260">
      <w:pPr>
        <w:spacing w:line="360" w:lineRule="auto"/>
        <w:rPr>
          <w:rFonts w:cs="宋体" w:asciiTheme="minorEastAsia" w:hAnsiTheme="minorEastAsia"/>
          <w:snapToGrid w:val="0"/>
          <w:color w:val="000000"/>
          <w:spacing w:val="-4"/>
          <w:kern w:val="0"/>
          <w:sz w:val="28"/>
          <w:szCs w:val="28"/>
        </w:rPr>
      </w:pPr>
      <w:r>
        <w:rPr>
          <w:rFonts w:hint="eastAsia" w:cs="宋体" w:asciiTheme="minorEastAsia" w:hAnsiTheme="minorEastAsia"/>
          <w:snapToGrid w:val="0"/>
          <w:color w:val="000000"/>
          <w:spacing w:val="-4"/>
          <w:kern w:val="0"/>
          <w:sz w:val="28"/>
          <w:szCs w:val="28"/>
        </w:rPr>
        <w:t>因期货市场遵从“买卖自负”的原则，穿仓损失是投资者交易的结果，亏损超过了其向期货公司交纳的期货保证金，期货公司为此向期货交易所替投资者垫付了超出保证金的部分，期货公司因此有向投资者追偿的权利，投资者应向期货公司履行赔偿责任。</w:t>
      </w:r>
    </w:p>
    <w:p w14:paraId="50D85BCC">
      <w:pPr>
        <w:spacing w:line="360" w:lineRule="auto"/>
        <w:outlineLvl w:val="0"/>
        <w:rPr>
          <w:rFonts w:hint="eastAsia" w:cs="宋体" w:asciiTheme="minorEastAsia" w:hAnsiTheme="minorEastAsia" w:eastAsiaTheme="minorEastAsia"/>
          <w:b/>
          <w:snapToGrid w:val="0"/>
          <w:color w:val="000000"/>
          <w:spacing w:val="-4"/>
          <w:kern w:val="0"/>
          <w:sz w:val="28"/>
          <w:szCs w:val="28"/>
          <w:lang w:eastAsia="zh-CN"/>
        </w:rPr>
      </w:pPr>
      <w:bookmarkStart w:id="358" w:name="_Toc7039"/>
      <w:bookmarkStart w:id="359" w:name="_Toc10861"/>
      <w:bookmarkStart w:id="360" w:name="_Toc142640368"/>
      <w:bookmarkStart w:id="361" w:name="_Toc17649"/>
      <w:r>
        <w:rPr>
          <w:rFonts w:hint="eastAsia" w:cs="宋体" w:asciiTheme="minorEastAsia" w:hAnsiTheme="minorEastAsia"/>
          <w:b/>
          <w:snapToGrid w:val="0"/>
          <w:color w:val="000000"/>
          <w:spacing w:val="-4"/>
          <w:kern w:val="0"/>
          <w:sz w:val="28"/>
          <w:szCs w:val="28"/>
        </w:rPr>
        <w:t>34.爆仓后果是什么</w:t>
      </w:r>
      <w:bookmarkEnd w:id="358"/>
      <w:bookmarkEnd w:id="359"/>
      <w:bookmarkEnd w:id="360"/>
      <w:bookmarkEnd w:id="361"/>
    </w:p>
    <w:p w14:paraId="1D0DA284">
      <w:pPr>
        <w:spacing w:line="360" w:lineRule="auto"/>
        <w:rPr>
          <w:rFonts w:cs="宋体" w:asciiTheme="minorEastAsia" w:hAnsiTheme="minorEastAsia"/>
          <w:snapToGrid w:val="0"/>
          <w:color w:val="000000"/>
          <w:spacing w:val="-4"/>
          <w:kern w:val="0"/>
          <w:sz w:val="28"/>
          <w:szCs w:val="28"/>
        </w:rPr>
      </w:pPr>
      <w:r>
        <w:rPr>
          <w:rFonts w:hint="eastAsia" w:cs="宋体" w:asciiTheme="minorEastAsia" w:hAnsiTheme="minorEastAsia"/>
          <w:snapToGrid w:val="0"/>
          <w:color w:val="000000"/>
          <w:spacing w:val="-4"/>
          <w:kern w:val="0"/>
          <w:sz w:val="28"/>
          <w:szCs w:val="28"/>
        </w:rPr>
        <w:t>爆仓即穿仓，指期货资金账户权益为负值。穿仓已构成对期货公司的欠款，客户应当履行还款义务，及时补足账户</w:t>
      </w:r>
    </w:p>
    <w:p w14:paraId="39028783">
      <w:pPr>
        <w:spacing w:line="360" w:lineRule="auto"/>
        <w:rPr>
          <w:rFonts w:cs="宋体" w:asciiTheme="minorEastAsia" w:hAnsiTheme="minorEastAsia"/>
          <w:snapToGrid w:val="0"/>
          <w:color w:val="000000"/>
          <w:spacing w:val="-4"/>
          <w:kern w:val="0"/>
          <w:sz w:val="28"/>
          <w:szCs w:val="28"/>
        </w:rPr>
      </w:pPr>
    </w:p>
    <w:p w14:paraId="435FF79C">
      <w:pPr>
        <w:spacing w:line="360" w:lineRule="auto"/>
        <w:rPr>
          <w:rFonts w:cs="宋体" w:asciiTheme="minorEastAsia" w:hAnsiTheme="minorEastAsia"/>
          <w:snapToGrid w:val="0"/>
          <w:color w:val="000000"/>
          <w:spacing w:val="-4"/>
          <w:kern w:val="0"/>
          <w:sz w:val="28"/>
          <w:szCs w:val="28"/>
        </w:rPr>
      </w:pPr>
    </w:p>
    <w:p w14:paraId="04C142A2">
      <w:pPr>
        <w:spacing w:line="360" w:lineRule="auto"/>
        <w:rPr>
          <w:rFonts w:cs="宋体" w:asciiTheme="minorEastAsia" w:hAnsiTheme="minorEastAsia"/>
          <w:snapToGrid w:val="0"/>
          <w:color w:val="000000"/>
          <w:spacing w:val="-4"/>
          <w:kern w:val="0"/>
          <w:sz w:val="28"/>
          <w:szCs w:val="28"/>
        </w:rPr>
      </w:pPr>
      <w:r>
        <w:rPr>
          <w:rFonts w:hint="eastAsia" w:cs="宋体" w:asciiTheme="minorEastAsia" w:hAnsiTheme="minorEastAsia"/>
          <w:snapToGrid w:val="0"/>
          <w:color w:val="000000"/>
          <w:spacing w:val="-4"/>
          <w:kern w:val="0"/>
          <w:sz w:val="28"/>
          <w:szCs w:val="28"/>
        </w:rPr>
        <w:t>欠款。若投资者逾期仍未完全还款，期货公司有权向中国期货业协会等相关信息平台提供投资者的失信信息，由此可能导致投资者的社会信用评价受到损害，并可能对投资者的生活出行及工作投资带来不便。期货公司还将保留通过司法途径向投资者追偿的权利。</w:t>
      </w:r>
    </w:p>
    <w:p w14:paraId="2800EB8A">
      <w:pPr>
        <w:spacing w:line="360" w:lineRule="auto"/>
        <w:outlineLvl w:val="0"/>
        <w:rPr>
          <w:rFonts w:hint="eastAsia" w:cs="宋体" w:asciiTheme="minorEastAsia" w:hAnsiTheme="minorEastAsia" w:eastAsiaTheme="minorEastAsia"/>
          <w:b/>
          <w:snapToGrid w:val="0"/>
          <w:color w:val="000000"/>
          <w:spacing w:val="-4"/>
          <w:kern w:val="0"/>
          <w:sz w:val="28"/>
          <w:szCs w:val="28"/>
          <w:lang w:eastAsia="zh-CN"/>
        </w:rPr>
      </w:pPr>
      <w:bookmarkStart w:id="362" w:name="_Toc17958"/>
      <w:bookmarkStart w:id="363" w:name="_Toc142640369"/>
      <w:bookmarkStart w:id="364" w:name="_Toc29150"/>
      <w:bookmarkStart w:id="365" w:name="_Toc21840"/>
      <w:r>
        <w:rPr>
          <w:rFonts w:hint="eastAsia" w:cs="宋体" w:asciiTheme="minorEastAsia" w:hAnsiTheme="minorEastAsia"/>
          <w:b/>
          <w:snapToGrid w:val="0"/>
          <w:color w:val="000000"/>
          <w:spacing w:val="-4"/>
          <w:kern w:val="0"/>
          <w:sz w:val="28"/>
          <w:szCs w:val="28"/>
        </w:rPr>
        <w:t>35.交割月、交割日是什么意思</w:t>
      </w:r>
      <w:bookmarkEnd w:id="362"/>
      <w:bookmarkEnd w:id="363"/>
      <w:bookmarkEnd w:id="364"/>
      <w:bookmarkEnd w:id="365"/>
    </w:p>
    <w:p w14:paraId="3E2A9E30">
      <w:pPr>
        <w:spacing w:line="360" w:lineRule="auto"/>
        <w:rPr>
          <w:rFonts w:cs="宋体" w:asciiTheme="minorEastAsia" w:hAnsiTheme="minorEastAsia"/>
          <w:snapToGrid w:val="0"/>
          <w:color w:val="000000"/>
          <w:spacing w:val="-4"/>
          <w:kern w:val="0"/>
          <w:sz w:val="28"/>
          <w:szCs w:val="28"/>
        </w:rPr>
      </w:pPr>
      <w:r>
        <w:rPr>
          <w:rFonts w:hint="eastAsia" w:cs="宋体" w:asciiTheme="minorEastAsia" w:hAnsiTheme="minorEastAsia"/>
          <w:snapToGrid w:val="0"/>
          <w:color w:val="000000"/>
          <w:spacing w:val="-4"/>
          <w:kern w:val="0"/>
          <w:sz w:val="28"/>
          <w:szCs w:val="28"/>
        </w:rPr>
        <w:t>交割月份是交易投资者在期货到期时按照合约规定交出或接受合约标的物的月份。交割日是指必须进行商品交割的日期（个人投资者无权将持仓保持到最后交割日）</w:t>
      </w:r>
    </w:p>
    <w:p w14:paraId="2BA322E7">
      <w:pPr>
        <w:spacing w:line="360" w:lineRule="auto"/>
        <w:outlineLvl w:val="0"/>
        <w:rPr>
          <w:rFonts w:cs="宋体" w:asciiTheme="minorEastAsia" w:hAnsiTheme="minorEastAsia"/>
          <w:b/>
          <w:snapToGrid w:val="0"/>
          <w:color w:val="000000"/>
          <w:spacing w:val="-4"/>
          <w:kern w:val="0"/>
          <w:sz w:val="28"/>
          <w:szCs w:val="28"/>
        </w:rPr>
      </w:pPr>
      <w:bookmarkStart w:id="366" w:name="_Toc19529"/>
      <w:bookmarkStart w:id="367" w:name="_Toc14621"/>
      <w:bookmarkStart w:id="368" w:name="_Toc13679"/>
      <w:bookmarkStart w:id="369" w:name="_Toc142640370"/>
      <w:r>
        <w:rPr>
          <w:rFonts w:hint="eastAsia" w:cs="宋体" w:asciiTheme="minorEastAsia" w:hAnsiTheme="minorEastAsia"/>
          <w:b/>
          <w:snapToGrid w:val="0"/>
          <w:color w:val="000000"/>
          <w:spacing w:val="-4"/>
          <w:kern w:val="0"/>
          <w:sz w:val="28"/>
          <w:szCs w:val="28"/>
        </w:rPr>
        <w:t>36.期权定义</w:t>
      </w:r>
      <w:bookmarkEnd w:id="366"/>
      <w:bookmarkEnd w:id="367"/>
      <w:bookmarkEnd w:id="368"/>
      <w:bookmarkEnd w:id="369"/>
    </w:p>
    <w:p w14:paraId="7AAE3852">
      <w:pPr>
        <w:spacing w:line="360" w:lineRule="auto"/>
        <w:rPr>
          <w:rFonts w:cs="宋体" w:asciiTheme="minorEastAsia" w:hAnsiTheme="minorEastAsia"/>
          <w:snapToGrid w:val="0"/>
          <w:color w:val="000000"/>
          <w:spacing w:val="-4"/>
          <w:kern w:val="0"/>
          <w:sz w:val="28"/>
          <w:szCs w:val="28"/>
        </w:rPr>
      </w:pPr>
      <w:r>
        <w:rPr>
          <w:rFonts w:hint="eastAsia" w:cs="宋体" w:asciiTheme="minorEastAsia" w:hAnsiTheme="minorEastAsia"/>
          <w:snapToGrid w:val="0"/>
          <w:color w:val="000000"/>
          <w:spacing w:val="-4"/>
          <w:kern w:val="0"/>
          <w:sz w:val="28"/>
          <w:szCs w:val="28"/>
        </w:rPr>
        <w:t>期货期权，是指一类衍生品合约，该合约赋予买方在将来某一特定时间以特定价格交易标的资产的权力。目前期货公司可交易的期权有两类，一类是商品期权，另一类是金融期权。期权定义的要点如下：</w:t>
      </w:r>
    </w:p>
    <w:p w14:paraId="782714F3">
      <w:pPr>
        <w:spacing w:line="360" w:lineRule="auto"/>
        <w:rPr>
          <w:rFonts w:cs="宋体" w:asciiTheme="minorEastAsia" w:hAnsiTheme="minorEastAsia"/>
          <w:snapToGrid w:val="0"/>
          <w:color w:val="000000"/>
          <w:spacing w:val="-4"/>
          <w:kern w:val="0"/>
          <w:sz w:val="28"/>
          <w:szCs w:val="28"/>
        </w:rPr>
      </w:pPr>
      <w:r>
        <w:rPr>
          <w:rFonts w:hint="eastAsia" w:cs="宋体" w:asciiTheme="minorEastAsia" w:hAnsiTheme="minorEastAsia"/>
          <w:snapToGrid w:val="0"/>
          <w:color w:val="000000"/>
          <w:spacing w:val="-4"/>
          <w:kern w:val="0"/>
          <w:sz w:val="28"/>
          <w:szCs w:val="28"/>
        </w:rPr>
        <w:t>(</w:t>
      </w:r>
      <w:r>
        <w:rPr>
          <w:rFonts w:hint="eastAsia" w:cs="宋体" w:asciiTheme="minorEastAsia" w:hAnsiTheme="minorEastAsia"/>
          <w:snapToGrid w:val="0"/>
          <w:color w:val="000000"/>
          <w:spacing w:val="-4"/>
          <w:kern w:val="0"/>
          <w:sz w:val="28"/>
          <w:szCs w:val="28"/>
          <w:lang w:eastAsia="en-US"/>
        </w:rPr>
        <w:t>1)</w:t>
      </w:r>
      <w:r>
        <w:rPr>
          <w:rFonts w:hint="eastAsia" w:cs="宋体" w:asciiTheme="minorEastAsia" w:hAnsiTheme="minorEastAsia"/>
          <w:snapToGrid w:val="0"/>
          <w:color w:val="000000"/>
          <w:spacing w:val="-4"/>
          <w:kern w:val="0"/>
          <w:sz w:val="28"/>
          <w:szCs w:val="28"/>
        </w:rPr>
        <w:t>根据行权时间与期权到期日的关系，期权主要分为美式期权和欧式期权；根据期权买方行驶权利的方向，期权分为看涨期权和看跌期权；根据标的物价格和行权价格的大小分类，期权分为实值期权、平值期权和虚值期权；</w:t>
      </w:r>
    </w:p>
    <w:p w14:paraId="2816794B">
      <w:pPr>
        <w:spacing w:line="360" w:lineRule="auto"/>
        <w:rPr>
          <w:rFonts w:cs="宋体" w:asciiTheme="minorEastAsia" w:hAnsiTheme="minorEastAsia"/>
          <w:snapToGrid w:val="0"/>
          <w:color w:val="000000"/>
          <w:spacing w:val="-4"/>
          <w:kern w:val="0"/>
          <w:sz w:val="28"/>
          <w:szCs w:val="28"/>
        </w:rPr>
      </w:pPr>
      <w:r>
        <w:rPr>
          <w:rFonts w:hint="eastAsia" w:cs="宋体" w:asciiTheme="minorEastAsia" w:hAnsiTheme="minorEastAsia"/>
          <w:snapToGrid w:val="0"/>
          <w:color w:val="000000"/>
          <w:spacing w:val="-4"/>
          <w:kern w:val="0"/>
          <w:sz w:val="28"/>
          <w:szCs w:val="28"/>
        </w:rPr>
        <w:t>(2</w:t>
      </w:r>
      <w:r>
        <w:rPr>
          <w:rFonts w:hint="eastAsia" w:cs="宋体" w:asciiTheme="minorEastAsia" w:hAnsiTheme="minorEastAsia"/>
          <w:snapToGrid w:val="0"/>
          <w:color w:val="000000"/>
          <w:spacing w:val="-4"/>
          <w:kern w:val="0"/>
          <w:sz w:val="28"/>
          <w:szCs w:val="28"/>
          <w:lang w:eastAsia="en-US"/>
        </w:rPr>
        <w:t>)</w:t>
      </w:r>
      <w:r>
        <w:rPr>
          <w:rFonts w:hint="eastAsia" w:cs="宋体" w:asciiTheme="minorEastAsia" w:hAnsiTheme="minorEastAsia"/>
          <w:snapToGrid w:val="0"/>
          <w:color w:val="000000"/>
          <w:spacing w:val="-4"/>
          <w:kern w:val="0"/>
          <w:sz w:val="28"/>
          <w:szCs w:val="28"/>
        </w:rPr>
        <w:t>期权买方需支付权利金，有权以执行价格买入/卖出标的资产，最大收益理论上无上限，最大亏损为支付的权利金；期权卖方收取权利金的同时需支付保证金，有义务以执行价格卖出/买入标的资产，最大收益为收取的权利金，最大风险理论上无上限；</w:t>
      </w:r>
    </w:p>
    <w:p w14:paraId="1FEBCFF3">
      <w:pPr>
        <w:spacing w:line="360" w:lineRule="auto"/>
        <w:rPr>
          <w:rFonts w:cs="宋体" w:asciiTheme="minorEastAsia" w:hAnsiTheme="minorEastAsia"/>
          <w:snapToGrid w:val="0"/>
          <w:color w:val="000000"/>
          <w:spacing w:val="-4"/>
          <w:kern w:val="0"/>
          <w:sz w:val="28"/>
          <w:szCs w:val="28"/>
        </w:rPr>
      </w:pPr>
      <w:r>
        <w:rPr>
          <w:rFonts w:hint="eastAsia" w:cs="宋体" w:asciiTheme="minorEastAsia" w:hAnsiTheme="minorEastAsia"/>
          <w:snapToGrid w:val="0"/>
          <w:color w:val="000000"/>
          <w:spacing w:val="-4"/>
          <w:kern w:val="0"/>
          <w:sz w:val="28"/>
          <w:szCs w:val="28"/>
        </w:rPr>
        <w:t>(3</w:t>
      </w:r>
      <w:r>
        <w:rPr>
          <w:rFonts w:hint="eastAsia" w:cs="宋体" w:asciiTheme="minorEastAsia" w:hAnsiTheme="minorEastAsia"/>
          <w:snapToGrid w:val="0"/>
          <w:color w:val="000000"/>
          <w:spacing w:val="-4"/>
          <w:kern w:val="0"/>
          <w:sz w:val="28"/>
          <w:szCs w:val="28"/>
          <w:lang w:eastAsia="en-US"/>
        </w:rPr>
        <w:t>)</w:t>
      </w:r>
      <w:r>
        <w:rPr>
          <w:rFonts w:hint="eastAsia" w:cs="宋体" w:asciiTheme="minorEastAsia" w:hAnsiTheme="minorEastAsia"/>
          <w:snapToGrid w:val="0"/>
          <w:color w:val="000000"/>
          <w:spacing w:val="-4"/>
          <w:kern w:val="0"/>
          <w:sz w:val="28"/>
          <w:szCs w:val="28"/>
        </w:rPr>
        <w:t>期权的交易类型包括买入看涨、买入看跌、卖出看涨、卖出看跌四种方式。其中买入看涨与卖出看跌为资产多头，买入看跌与卖出看涨为资产空头；</w:t>
      </w:r>
    </w:p>
    <w:p w14:paraId="780A0993">
      <w:pPr>
        <w:spacing w:line="360" w:lineRule="auto"/>
        <w:rPr>
          <w:rFonts w:cs="宋体" w:asciiTheme="minorEastAsia" w:hAnsiTheme="minorEastAsia"/>
          <w:snapToGrid w:val="0"/>
          <w:color w:val="000000"/>
          <w:spacing w:val="-4"/>
          <w:kern w:val="0"/>
          <w:sz w:val="28"/>
          <w:szCs w:val="28"/>
        </w:rPr>
      </w:pPr>
      <w:r>
        <w:rPr>
          <w:rFonts w:hint="eastAsia" w:cs="宋体" w:asciiTheme="minorEastAsia" w:hAnsiTheme="minorEastAsia"/>
          <w:snapToGrid w:val="0"/>
          <w:color w:val="000000"/>
          <w:spacing w:val="-4"/>
          <w:kern w:val="0"/>
          <w:sz w:val="28"/>
          <w:szCs w:val="28"/>
        </w:rPr>
        <w:t>(4</w:t>
      </w:r>
      <w:r>
        <w:rPr>
          <w:rFonts w:hint="eastAsia" w:cs="宋体" w:asciiTheme="minorEastAsia" w:hAnsiTheme="minorEastAsia"/>
          <w:snapToGrid w:val="0"/>
          <w:color w:val="000000"/>
          <w:spacing w:val="-4"/>
          <w:kern w:val="0"/>
          <w:sz w:val="28"/>
          <w:szCs w:val="28"/>
          <w:lang w:eastAsia="en-US"/>
        </w:rPr>
        <w:t>)</w:t>
      </w:r>
      <w:r>
        <w:rPr>
          <w:rFonts w:hint="eastAsia" w:cs="宋体" w:asciiTheme="minorEastAsia" w:hAnsiTheme="minorEastAsia"/>
          <w:snapToGrid w:val="0"/>
          <w:color w:val="000000"/>
          <w:spacing w:val="-4"/>
          <w:kern w:val="0"/>
          <w:sz w:val="28"/>
          <w:szCs w:val="28"/>
        </w:rPr>
        <w:t>期权结算价是根据隐含波动率确定各期权合约的理论价。因期权系列合约存在价格的约束关系，不能简单加权平均。影响期权价格的主要影响因素是波动率，因此需要用隐含波动率定价。</w:t>
      </w:r>
    </w:p>
    <w:p w14:paraId="34FD6E04">
      <w:pPr>
        <w:spacing w:line="360" w:lineRule="auto"/>
        <w:outlineLvl w:val="0"/>
        <w:rPr>
          <w:rFonts w:hint="eastAsia" w:cs="宋体" w:asciiTheme="minorEastAsia" w:hAnsiTheme="minorEastAsia" w:eastAsiaTheme="minorEastAsia"/>
          <w:b/>
          <w:snapToGrid w:val="0"/>
          <w:color w:val="000000"/>
          <w:spacing w:val="-4"/>
          <w:kern w:val="0"/>
          <w:sz w:val="28"/>
          <w:szCs w:val="28"/>
          <w:lang w:eastAsia="zh-CN"/>
        </w:rPr>
      </w:pPr>
      <w:bookmarkStart w:id="370" w:name="_Toc12258"/>
      <w:bookmarkStart w:id="371" w:name="_Toc142640371"/>
      <w:bookmarkStart w:id="372" w:name="_Toc8073"/>
      <w:bookmarkStart w:id="373" w:name="_Toc17605"/>
      <w:r>
        <w:rPr>
          <w:rFonts w:hint="eastAsia" w:cs="宋体" w:asciiTheme="minorEastAsia" w:hAnsiTheme="minorEastAsia"/>
          <w:b/>
          <w:snapToGrid w:val="0"/>
          <w:color w:val="000000"/>
          <w:spacing w:val="-4"/>
          <w:kern w:val="0"/>
          <w:sz w:val="28"/>
          <w:szCs w:val="28"/>
        </w:rPr>
        <w:t>37.什么是权利金</w:t>
      </w:r>
      <w:bookmarkEnd w:id="370"/>
      <w:bookmarkEnd w:id="371"/>
      <w:bookmarkEnd w:id="372"/>
      <w:bookmarkEnd w:id="373"/>
    </w:p>
    <w:p w14:paraId="55109592">
      <w:pPr>
        <w:spacing w:line="360" w:lineRule="auto"/>
        <w:rPr>
          <w:rFonts w:cs="宋体" w:asciiTheme="minorEastAsia" w:hAnsiTheme="minorEastAsia"/>
          <w:snapToGrid w:val="0"/>
          <w:color w:val="000000"/>
          <w:spacing w:val="-4"/>
          <w:kern w:val="0"/>
          <w:sz w:val="28"/>
          <w:szCs w:val="28"/>
        </w:rPr>
      </w:pPr>
      <w:r>
        <w:rPr>
          <w:rFonts w:hint="eastAsia" w:cs="宋体" w:asciiTheme="minorEastAsia" w:hAnsiTheme="minorEastAsia"/>
          <w:snapToGrid w:val="0"/>
          <w:color w:val="000000"/>
          <w:spacing w:val="-4"/>
          <w:kern w:val="0"/>
          <w:sz w:val="28"/>
          <w:szCs w:val="28"/>
        </w:rPr>
        <w:t>权利金即期权合约价格，指期权买方为获得期权权利向卖方支付的费用。</w:t>
      </w:r>
    </w:p>
    <w:p w14:paraId="768E15A6">
      <w:pPr>
        <w:spacing w:line="360" w:lineRule="auto"/>
        <w:outlineLvl w:val="0"/>
        <w:rPr>
          <w:rFonts w:cs="宋体" w:asciiTheme="minorEastAsia" w:hAnsiTheme="minorEastAsia"/>
          <w:b/>
          <w:snapToGrid w:val="0"/>
          <w:color w:val="000000"/>
          <w:spacing w:val="-4"/>
          <w:kern w:val="0"/>
          <w:sz w:val="28"/>
          <w:szCs w:val="28"/>
        </w:rPr>
      </w:pPr>
      <w:bookmarkStart w:id="374" w:name="_Toc142640372"/>
      <w:bookmarkStart w:id="375" w:name="_Toc10560"/>
      <w:bookmarkStart w:id="376" w:name="_Toc26696"/>
      <w:bookmarkStart w:id="377" w:name="_Toc3924"/>
      <w:r>
        <w:rPr>
          <w:rFonts w:hint="eastAsia" w:cs="宋体" w:asciiTheme="minorEastAsia" w:hAnsiTheme="minorEastAsia"/>
          <w:b/>
          <w:snapToGrid w:val="0"/>
          <w:color w:val="000000"/>
          <w:spacing w:val="-4"/>
          <w:kern w:val="0"/>
          <w:sz w:val="28"/>
          <w:szCs w:val="28"/>
        </w:rPr>
        <w:t>38.限仓定义</w:t>
      </w:r>
      <w:bookmarkEnd w:id="374"/>
      <w:bookmarkEnd w:id="375"/>
      <w:bookmarkEnd w:id="376"/>
      <w:bookmarkEnd w:id="377"/>
    </w:p>
    <w:p w14:paraId="61DC6D51">
      <w:pPr>
        <w:spacing w:line="360" w:lineRule="auto"/>
        <w:rPr>
          <w:rFonts w:cs="宋体" w:asciiTheme="minorEastAsia" w:hAnsiTheme="minorEastAsia"/>
          <w:snapToGrid w:val="0"/>
          <w:color w:val="000000"/>
          <w:spacing w:val="-4"/>
          <w:kern w:val="0"/>
          <w:sz w:val="28"/>
          <w:szCs w:val="28"/>
        </w:rPr>
      </w:pPr>
      <w:r>
        <w:rPr>
          <w:rFonts w:hint="eastAsia" w:cs="宋体" w:asciiTheme="minorEastAsia" w:hAnsiTheme="minorEastAsia"/>
          <w:snapToGrid w:val="0"/>
          <w:color w:val="000000"/>
          <w:spacing w:val="-4"/>
          <w:kern w:val="0"/>
          <w:sz w:val="28"/>
          <w:szCs w:val="28"/>
        </w:rPr>
        <w:t>限仓制度，是期货交易所为了防止市场风险过度集中于少数交易者和防范操纵市场行为，对会员和客户的持仓数量进行限制的制度。规定会员或客户可以持有的，按单边计算的某一合约持仓的最大数额，不允许超量持仓。</w:t>
      </w:r>
    </w:p>
    <w:p w14:paraId="2ABABE15">
      <w:pPr>
        <w:spacing w:line="360" w:lineRule="auto"/>
        <w:outlineLvl w:val="0"/>
        <w:rPr>
          <w:rFonts w:cs="宋体" w:asciiTheme="minorEastAsia" w:hAnsiTheme="minorEastAsia"/>
          <w:b/>
          <w:snapToGrid w:val="0"/>
          <w:color w:val="000000"/>
          <w:spacing w:val="-4"/>
          <w:kern w:val="0"/>
          <w:sz w:val="28"/>
          <w:szCs w:val="28"/>
        </w:rPr>
      </w:pPr>
      <w:bookmarkStart w:id="378" w:name="_Toc17817"/>
      <w:bookmarkStart w:id="379" w:name="_Toc6808"/>
      <w:bookmarkStart w:id="380" w:name="_Toc21885"/>
      <w:bookmarkStart w:id="381" w:name="_Toc142640373"/>
      <w:r>
        <w:rPr>
          <w:rFonts w:hint="eastAsia" w:cs="宋体" w:asciiTheme="minorEastAsia" w:hAnsiTheme="minorEastAsia"/>
          <w:b/>
          <w:snapToGrid w:val="0"/>
          <w:color w:val="000000"/>
          <w:spacing w:val="-4"/>
          <w:kern w:val="0"/>
          <w:sz w:val="28"/>
          <w:szCs w:val="28"/>
        </w:rPr>
        <w:t>39.出入金（时间、限制）</w:t>
      </w:r>
      <w:bookmarkEnd w:id="378"/>
      <w:bookmarkEnd w:id="379"/>
      <w:bookmarkEnd w:id="380"/>
      <w:bookmarkEnd w:id="381"/>
    </w:p>
    <w:p w14:paraId="68B4C620">
      <w:pPr>
        <w:spacing w:line="360" w:lineRule="auto"/>
        <w:rPr>
          <w:rFonts w:cs="宋体" w:asciiTheme="minorEastAsia" w:hAnsiTheme="minorEastAsia"/>
          <w:snapToGrid w:val="0"/>
          <w:color w:val="000000"/>
          <w:spacing w:val="-4"/>
          <w:kern w:val="0"/>
          <w:sz w:val="28"/>
          <w:szCs w:val="28"/>
        </w:rPr>
      </w:pPr>
      <w:r>
        <w:rPr>
          <w:rFonts w:hint="eastAsia" w:cs="宋体" w:asciiTheme="minorEastAsia" w:hAnsiTheme="minorEastAsia"/>
          <w:snapToGrid w:val="0"/>
          <w:color w:val="000000"/>
          <w:spacing w:val="-4"/>
          <w:kern w:val="0"/>
          <w:sz w:val="28"/>
          <w:szCs w:val="28"/>
        </w:rPr>
        <w:t>出入金是指由交易账户与银行账户之间资金互相划转的过程。入金时间为交易日的早上08:30至下午16:00，晚上20:00至次日凌晨02:30，出金时间为交易日的早上9:00至下午15:30。我司目前银期转账出金额度系统默认每天单笔限额5</w:t>
      </w:r>
      <w:r>
        <w:rPr>
          <w:rFonts w:hint="eastAsia" w:cs="宋体" w:asciiTheme="minorEastAsia" w:hAnsiTheme="minorEastAsia"/>
          <w:snapToGrid w:val="0"/>
          <w:color w:val="000000"/>
          <w:spacing w:val="-4"/>
          <w:kern w:val="0"/>
          <w:sz w:val="28"/>
          <w:szCs w:val="28"/>
          <w:lang w:val="en-US" w:eastAsia="zh-CN"/>
        </w:rPr>
        <w:t>0</w:t>
      </w:r>
      <w:r>
        <w:rPr>
          <w:rFonts w:hint="eastAsia" w:cs="宋体" w:asciiTheme="minorEastAsia" w:hAnsiTheme="minorEastAsia"/>
          <w:snapToGrid w:val="0"/>
          <w:color w:val="000000"/>
          <w:spacing w:val="-4"/>
          <w:kern w:val="0"/>
          <w:sz w:val="28"/>
          <w:szCs w:val="28"/>
        </w:rPr>
        <w:t>w，总限额也是</w:t>
      </w:r>
      <w:r>
        <w:rPr>
          <w:rFonts w:hint="eastAsia" w:cs="宋体" w:asciiTheme="minorEastAsia" w:hAnsiTheme="minorEastAsia"/>
          <w:snapToGrid w:val="0"/>
          <w:color w:val="000000"/>
          <w:spacing w:val="-4"/>
          <w:kern w:val="0"/>
          <w:sz w:val="28"/>
          <w:szCs w:val="28"/>
          <w:lang w:val="en-US" w:eastAsia="zh-CN"/>
        </w:rPr>
        <w:t>50</w:t>
      </w:r>
      <w:r>
        <w:rPr>
          <w:rFonts w:hint="eastAsia" w:cs="宋体" w:asciiTheme="minorEastAsia" w:hAnsiTheme="minorEastAsia"/>
          <w:snapToGrid w:val="0"/>
          <w:color w:val="000000"/>
          <w:spacing w:val="-4"/>
          <w:kern w:val="0"/>
          <w:sz w:val="28"/>
          <w:szCs w:val="28"/>
        </w:rPr>
        <w:t>w，出金次数为3次。</w:t>
      </w:r>
    </w:p>
    <w:p w14:paraId="5B3D9173">
      <w:pPr>
        <w:spacing w:line="360" w:lineRule="auto"/>
        <w:outlineLvl w:val="0"/>
        <w:rPr>
          <w:rFonts w:hint="eastAsia" w:cs="宋体" w:asciiTheme="minorEastAsia" w:hAnsiTheme="minorEastAsia" w:eastAsiaTheme="minorEastAsia"/>
          <w:b/>
          <w:snapToGrid w:val="0"/>
          <w:color w:val="000000"/>
          <w:spacing w:val="-4"/>
          <w:kern w:val="0"/>
          <w:sz w:val="28"/>
          <w:szCs w:val="28"/>
          <w:lang w:eastAsia="zh-CN"/>
        </w:rPr>
      </w:pPr>
      <w:bookmarkStart w:id="382" w:name="_Toc142640374"/>
      <w:bookmarkStart w:id="383" w:name="_Toc24811"/>
      <w:bookmarkStart w:id="384" w:name="_Toc4200"/>
      <w:bookmarkStart w:id="385" w:name="_Toc1586"/>
      <w:r>
        <w:rPr>
          <w:rFonts w:hint="eastAsia" w:cs="宋体" w:asciiTheme="minorEastAsia" w:hAnsiTheme="minorEastAsia"/>
          <w:b/>
          <w:snapToGrid w:val="0"/>
          <w:color w:val="000000"/>
          <w:spacing w:val="-4"/>
          <w:kern w:val="0"/>
          <w:sz w:val="28"/>
          <w:szCs w:val="28"/>
        </w:rPr>
        <w:t>40.为什么不能下单或提示废单</w:t>
      </w:r>
      <w:bookmarkEnd w:id="382"/>
      <w:bookmarkEnd w:id="383"/>
      <w:bookmarkEnd w:id="384"/>
      <w:bookmarkEnd w:id="385"/>
    </w:p>
    <w:p w14:paraId="60615F12">
      <w:pPr>
        <w:spacing w:line="360" w:lineRule="auto"/>
        <w:rPr>
          <w:rFonts w:cs="宋体" w:asciiTheme="minorEastAsia" w:hAnsiTheme="minorEastAsia"/>
          <w:snapToGrid w:val="0"/>
          <w:color w:val="000000"/>
          <w:spacing w:val="-4"/>
          <w:kern w:val="0"/>
          <w:sz w:val="28"/>
          <w:szCs w:val="28"/>
        </w:rPr>
      </w:pPr>
      <w:r>
        <w:rPr>
          <w:rFonts w:hint="eastAsia" w:cs="宋体" w:asciiTheme="minorEastAsia" w:hAnsiTheme="minorEastAsia"/>
          <w:snapToGrid w:val="0"/>
          <w:color w:val="000000"/>
          <w:spacing w:val="-4"/>
          <w:kern w:val="0"/>
          <w:sz w:val="28"/>
          <w:szCs w:val="28"/>
        </w:rPr>
        <w:t>无法下单可能由以下原因造成：可用资金不足、账户休眠、身份证过期、当日新开账户、无特殊品种交易权限、非交易时间、委托价格有误等，具体可致电我司客户服务热线详询。</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E79E85E"/>
    <w:multiLevelType w:val="multilevel"/>
    <w:tmpl w:val="8E79E85E"/>
    <w:lvl w:ilvl="0" w:tentative="0">
      <w:start w:val="1"/>
      <w:numFmt w:val="decimal"/>
      <w:lvlText w:val="%1."/>
      <w:lvlJc w:val="left"/>
      <w:pPr>
        <w:ind w:left="360" w:hanging="360"/>
      </w:pPr>
      <w:rPr>
        <w:rFonts w:hint="default"/>
      </w:rPr>
    </w:lvl>
    <w:lvl w:ilvl="1" w:tentative="0">
      <w:start w:val="1"/>
      <w:numFmt w:val="lowerLetter"/>
      <w:lvlText w:val="%2)"/>
      <w:lvlJc w:val="left"/>
      <w:pPr>
        <w:ind w:left="840" w:hanging="420"/>
      </w:pPr>
      <w:rPr>
        <w:rFonts w:hint="eastAsia"/>
      </w:rPr>
    </w:lvl>
    <w:lvl w:ilvl="2" w:tentative="0">
      <w:start w:val="1"/>
      <w:numFmt w:val="lowerRoman"/>
      <w:lvlText w:val="%3."/>
      <w:lvlJc w:val="right"/>
      <w:pPr>
        <w:ind w:left="1260" w:hanging="420"/>
      </w:pPr>
      <w:rPr>
        <w:rFonts w:hint="eastAsia"/>
      </w:rPr>
    </w:lvl>
    <w:lvl w:ilvl="3" w:tentative="0">
      <w:start w:val="1"/>
      <w:numFmt w:val="decimal"/>
      <w:lvlText w:val="%4."/>
      <w:lvlJc w:val="left"/>
      <w:pPr>
        <w:ind w:left="1680" w:hanging="420"/>
      </w:pPr>
      <w:rPr>
        <w:rFonts w:hint="eastAsia"/>
      </w:rPr>
    </w:lvl>
    <w:lvl w:ilvl="4" w:tentative="0">
      <w:start w:val="1"/>
      <w:numFmt w:val="lowerLetter"/>
      <w:lvlText w:val="%5)"/>
      <w:lvlJc w:val="left"/>
      <w:pPr>
        <w:ind w:left="2100" w:hanging="420"/>
      </w:pPr>
      <w:rPr>
        <w:rFonts w:hint="eastAsia"/>
      </w:rPr>
    </w:lvl>
    <w:lvl w:ilvl="5" w:tentative="0">
      <w:start w:val="1"/>
      <w:numFmt w:val="lowerRoman"/>
      <w:lvlText w:val="%6."/>
      <w:lvlJc w:val="right"/>
      <w:pPr>
        <w:ind w:left="2520" w:hanging="420"/>
      </w:pPr>
      <w:rPr>
        <w:rFonts w:hint="eastAsia"/>
      </w:rPr>
    </w:lvl>
    <w:lvl w:ilvl="6" w:tentative="0">
      <w:start w:val="1"/>
      <w:numFmt w:val="decimal"/>
      <w:lvlText w:val="%7."/>
      <w:lvlJc w:val="left"/>
      <w:pPr>
        <w:ind w:left="2940" w:hanging="420"/>
      </w:pPr>
      <w:rPr>
        <w:rFonts w:hint="eastAsia"/>
      </w:rPr>
    </w:lvl>
    <w:lvl w:ilvl="7" w:tentative="0">
      <w:start w:val="1"/>
      <w:numFmt w:val="lowerLetter"/>
      <w:lvlText w:val="%8)"/>
      <w:lvlJc w:val="left"/>
      <w:pPr>
        <w:ind w:left="3360" w:hanging="420"/>
      </w:pPr>
      <w:rPr>
        <w:rFonts w:hint="eastAsia"/>
      </w:rPr>
    </w:lvl>
    <w:lvl w:ilvl="8" w:tentative="0">
      <w:start w:val="1"/>
      <w:numFmt w:val="lowerRoman"/>
      <w:lvlText w:val="%9."/>
      <w:lvlJc w:val="right"/>
      <w:pPr>
        <w:ind w:left="3780" w:hanging="420"/>
      </w:pPr>
      <w:rPr>
        <w:rFonts w:hint="eastAsia"/>
      </w:rPr>
    </w:lvl>
  </w:abstractNum>
  <w:abstractNum w:abstractNumId="1">
    <w:nsid w:val="4AFCAE96"/>
    <w:multiLevelType w:val="multilevel"/>
    <w:tmpl w:val="4AFCAE96"/>
    <w:lvl w:ilvl="0" w:tentative="0">
      <w:start w:val="1"/>
      <w:numFmt w:val="decimal"/>
      <w:lvlText w:val="%1."/>
      <w:lvlJc w:val="left"/>
      <w:pPr>
        <w:ind w:left="360" w:hanging="360"/>
      </w:pPr>
      <w:rPr>
        <w:rFonts w:hint="default"/>
      </w:rPr>
    </w:lvl>
    <w:lvl w:ilvl="1" w:tentative="0">
      <w:start w:val="1"/>
      <w:numFmt w:val="lowerLetter"/>
      <w:lvlText w:val="%2)"/>
      <w:lvlJc w:val="left"/>
      <w:pPr>
        <w:ind w:left="840" w:hanging="420"/>
      </w:pPr>
      <w:rPr>
        <w:rFonts w:hint="eastAsia"/>
      </w:rPr>
    </w:lvl>
    <w:lvl w:ilvl="2" w:tentative="0">
      <w:start w:val="1"/>
      <w:numFmt w:val="lowerRoman"/>
      <w:lvlText w:val="%3."/>
      <w:lvlJc w:val="right"/>
      <w:pPr>
        <w:ind w:left="1260" w:hanging="420"/>
      </w:pPr>
      <w:rPr>
        <w:rFonts w:hint="eastAsia"/>
      </w:rPr>
    </w:lvl>
    <w:lvl w:ilvl="3" w:tentative="0">
      <w:start w:val="1"/>
      <w:numFmt w:val="decimal"/>
      <w:lvlText w:val="%4."/>
      <w:lvlJc w:val="left"/>
      <w:pPr>
        <w:ind w:left="1680" w:hanging="420"/>
      </w:pPr>
      <w:rPr>
        <w:rFonts w:hint="eastAsia"/>
      </w:rPr>
    </w:lvl>
    <w:lvl w:ilvl="4" w:tentative="0">
      <w:start w:val="1"/>
      <w:numFmt w:val="lowerLetter"/>
      <w:lvlText w:val="%5)"/>
      <w:lvlJc w:val="left"/>
      <w:pPr>
        <w:ind w:left="2100" w:hanging="420"/>
      </w:pPr>
      <w:rPr>
        <w:rFonts w:hint="eastAsia"/>
      </w:rPr>
    </w:lvl>
    <w:lvl w:ilvl="5" w:tentative="0">
      <w:start w:val="1"/>
      <w:numFmt w:val="lowerRoman"/>
      <w:lvlText w:val="%6."/>
      <w:lvlJc w:val="right"/>
      <w:pPr>
        <w:ind w:left="2520" w:hanging="420"/>
      </w:pPr>
      <w:rPr>
        <w:rFonts w:hint="eastAsia"/>
      </w:rPr>
    </w:lvl>
    <w:lvl w:ilvl="6" w:tentative="0">
      <w:start w:val="1"/>
      <w:numFmt w:val="decimal"/>
      <w:lvlText w:val="%7."/>
      <w:lvlJc w:val="left"/>
      <w:pPr>
        <w:ind w:left="2940" w:hanging="420"/>
      </w:pPr>
      <w:rPr>
        <w:rFonts w:hint="eastAsia"/>
      </w:rPr>
    </w:lvl>
    <w:lvl w:ilvl="7" w:tentative="0">
      <w:start w:val="1"/>
      <w:numFmt w:val="lowerLetter"/>
      <w:lvlText w:val="%8)"/>
      <w:lvlJc w:val="left"/>
      <w:pPr>
        <w:ind w:left="3360" w:hanging="420"/>
      </w:pPr>
      <w:rPr>
        <w:rFonts w:hint="eastAsia"/>
      </w:rPr>
    </w:lvl>
    <w:lvl w:ilvl="8" w:tentative="0">
      <w:start w:val="1"/>
      <w:numFmt w:val="lowerRoman"/>
      <w:lvlText w:val="%9."/>
      <w:lvlJc w:val="right"/>
      <w:pPr>
        <w:ind w:left="3780" w:hanging="420"/>
      </w:pPr>
      <w:rPr>
        <w:rFonts w:hint="eastAsia"/>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NotDisplayPageBoundaries w:val="1"/>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ZWUzNDBmYjAwMjk3ZWUwZGFjOTI1ZGE2ODgyM2VmODQifQ=="/>
  </w:docVars>
  <w:rsids>
    <w:rsidRoot w:val="00BB4C40"/>
    <w:rsid w:val="00075AE1"/>
    <w:rsid w:val="001A1B11"/>
    <w:rsid w:val="001F02E7"/>
    <w:rsid w:val="002304D9"/>
    <w:rsid w:val="00232E24"/>
    <w:rsid w:val="00316E8F"/>
    <w:rsid w:val="003512F3"/>
    <w:rsid w:val="003514AA"/>
    <w:rsid w:val="00593773"/>
    <w:rsid w:val="00616A3D"/>
    <w:rsid w:val="00686947"/>
    <w:rsid w:val="006B1253"/>
    <w:rsid w:val="00720C92"/>
    <w:rsid w:val="0075590E"/>
    <w:rsid w:val="0078064C"/>
    <w:rsid w:val="007E6841"/>
    <w:rsid w:val="00934485"/>
    <w:rsid w:val="009B2138"/>
    <w:rsid w:val="00A429F2"/>
    <w:rsid w:val="00A664B0"/>
    <w:rsid w:val="00AA5D96"/>
    <w:rsid w:val="00B72F18"/>
    <w:rsid w:val="00B86041"/>
    <w:rsid w:val="00BB4C40"/>
    <w:rsid w:val="00BF67C4"/>
    <w:rsid w:val="00CE39FA"/>
    <w:rsid w:val="00D148ED"/>
    <w:rsid w:val="00D14A8F"/>
    <w:rsid w:val="00D314F0"/>
    <w:rsid w:val="00DC3589"/>
    <w:rsid w:val="00EE4C34"/>
    <w:rsid w:val="00F1229F"/>
    <w:rsid w:val="00F3071B"/>
    <w:rsid w:val="00F43BA0"/>
    <w:rsid w:val="00FA07B7"/>
    <w:rsid w:val="00FF40C5"/>
    <w:rsid w:val="11F5540D"/>
    <w:rsid w:val="21044561"/>
    <w:rsid w:val="227A4857"/>
    <w:rsid w:val="265D6D3B"/>
    <w:rsid w:val="40682937"/>
    <w:rsid w:val="76A56372"/>
    <w:rsid w:val="7AE717D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semiHidden="0" w:name="toc 1"/>
    <w:lsdException w:uiPriority="39" w:semiHidden="0" w:name="toc 2"/>
    <w:lsdException w:uiPriority="39" w:semiHidden="0" w:name="toc 3"/>
    <w:lsdException w:uiPriority="39" w:semiHidden="0" w:name="toc 4"/>
    <w:lsdException w:uiPriority="39" w:semiHidden="0" w:name="toc 5"/>
    <w:lsdException w:uiPriority="39" w:semiHidden="0" w:name="toc 6"/>
    <w:lsdException w:uiPriority="39" w:semiHidden="0" w:name="toc 7"/>
    <w:lsdException w:uiPriority="39" w:semiHidden="0" w:name="toc 8"/>
    <w:lsdException w:uiPriority="39" w:semiHidden="0" w:name="toc 9"/>
    <w:lsdException w:uiPriority="99" w:name="Normal Indent"/>
    <w:lsdException w:uiPriority="99" w:name="footnote text"/>
    <w:lsdException w:uiPriority="99" w:name="annotation text"/>
    <w:lsdException w:uiPriority="99" w:name="header"/>
    <w:lsdException w:qFormat="1" w:unhideWhenUsed="0" w:uiPriority="0"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semiHidden="0" w:name="Default Paragraph Font"/>
    <w:lsdException w:qFormat="1" w:unhideWhenUsed="0" w:uiPriority="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styleId="2">
    <w:name w:val="heading 1"/>
    <w:basedOn w:val="1"/>
    <w:next w:val="1"/>
    <w:link w:val="26"/>
    <w:qFormat/>
    <w:uiPriority w:val="9"/>
    <w:pPr>
      <w:keepNext/>
      <w:keepLines/>
      <w:spacing w:before="340" w:beforeLines="0" w:beforeAutospacing="0" w:after="330" w:afterLines="0" w:afterAutospacing="0" w:line="576" w:lineRule="auto"/>
      <w:outlineLvl w:val="0"/>
    </w:pPr>
    <w:rPr>
      <w:b/>
      <w:kern w:val="44"/>
      <w:sz w:val="44"/>
    </w:rPr>
  </w:style>
  <w:style w:type="paragraph" w:styleId="3">
    <w:name w:val="heading 2"/>
    <w:basedOn w:val="1"/>
    <w:next w:val="1"/>
    <w:link w:val="27"/>
    <w:semiHidden/>
    <w:unhideWhenUsed/>
    <w:qFormat/>
    <w:uiPriority w:val="9"/>
    <w:pPr>
      <w:keepNext/>
      <w:keepLines/>
      <w:spacing w:before="260" w:beforeLines="0" w:beforeAutospacing="0" w:after="260" w:afterLines="0" w:afterAutospacing="0" w:line="413" w:lineRule="auto"/>
      <w:outlineLvl w:val="1"/>
    </w:pPr>
    <w:rPr>
      <w:rFonts w:ascii="Arial" w:hAnsi="Arial" w:eastAsia="黑体"/>
      <w:b/>
      <w:sz w:val="32"/>
    </w:rPr>
  </w:style>
  <w:style w:type="paragraph" w:styleId="4">
    <w:name w:val="heading 3"/>
    <w:basedOn w:val="1"/>
    <w:next w:val="1"/>
    <w:link w:val="28"/>
    <w:semiHidden/>
    <w:unhideWhenUsed/>
    <w:qFormat/>
    <w:uiPriority w:val="9"/>
    <w:pPr>
      <w:keepNext/>
      <w:keepLines/>
      <w:spacing w:before="260" w:beforeLines="0" w:beforeAutospacing="0" w:after="260" w:afterLines="0" w:afterAutospacing="0" w:line="413" w:lineRule="auto"/>
      <w:outlineLvl w:val="2"/>
    </w:pPr>
    <w:rPr>
      <w:b/>
      <w:sz w:val="32"/>
    </w:rPr>
  </w:style>
  <w:style w:type="character" w:default="1" w:styleId="18">
    <w:name w:val="Default Paragraph Font"/>
    <w:unhideWhenUsed/>
    <w:uiPriority w:val="1"/>
  </w:style>
  <w:style w:type="table" w:default="1" w:styleId="17">
    <w:name w:val="Normal Table"/>
    <w:semiHidden/>
    <w:unhideWhenUsed/>
    <w:uiPriority w:val="99"/>
    <w:tblPr>
      <w:tblCellMar>
        <w:top w:w="0" w:type="dxa"/>
        <w:left w:w="108" w:type="dxa"/>
        <w:bottom w:w="0" w:type="dxa"/>
        <w:right w:w="108" w:type="dxa"/>
      </w:tblCellMar>
    </w:tblPr>
  </w:style>
  <w:style w:type="paragraph" w:styleId="5">
    <w:name w:val="toc 7"/>
    <w:basedOn w:val="1"/>
    <w:next w:val="1"/>
    <w:link w:val="29"/>
    <w:unhideWhenUsed/>
    <w:uiPriority w:val="39"/>
    <w:pPr>
      <w:ind w:left="2520" w:leftChars="1200"/>
    </w:pPr>
  </w:style>
  <w:style w:type="paragraph" w:styleId="6">
    <w:name w:val="Body Text"/>
    <w:basedOn w:val="1"/>
    <w:link w:val="21"/>
    <w:semiHidden/>
    <w:qFormat/>
    <w:uiPriority w:val="0"/>
    <w:pPr>
      <w:widowControl/>
      <w:kinsoku w:val="0"/>
      <w:autoSpaceDE w:val="0"/>
      <w:autoSpaceDN w:val="0"/>
      <w:adjustRightInd w:val="0"/>
      <w:snapToGrid w:val="0"/>
      <w:jc w:val="left"/>
      <w:textAlignment w:val="baseline"/>
    </w:pPr>
    <w:rPr>
      <w:rFonts w:ascii="宋体" w:hAnsi="宋体" w:eastAsia="宋体" w:cs="宋体"/>
      <w:snapToGrid w:val="0"/>
      <w:color w:val="000000"/>
      <w:kern w:val="0"/>
      <w:sz w:val="28"/>
      <w:szCs w:val="28"/>
      <w:lang w:eastAsia="en-US"/>
    </w:rPr>
  </w:style>
  <w:style w:type="paragraph" w:styleId="7">
    <w:name w:val="toc 5"/>
    <w:basedOn w:val="1"/>
    <w:next w:val="1"/>
    <w:unhideWhenUsed/>
    <w:uiPriority w:val="39"/>
    <w:pPr>
      <w:ind w:left="1680" w:leftChars="800"/>
    </w:pPr>
  </w:style>
  <w:style w:type="paragraph" w:styleId="8">
    <w:name w:val="toc 3"/>
    <w:basedOn w:val="1"/>
    <w:next w:val="1"/>
    <w:unhideWhenUsed/>
    <w:uiPriority w:val="39"/>
    <w:pPr>
      <w:ind w:left="840" w:leftChars="400"/>
    </w:pPr>
  </w:style>
  <w:style w:type="paragraph" w:styleId="9">
    <w:name w:val="toc 8"/>
    <w:basedOn w:val="1"/>
    <w:next w:val="1"/>
    <w:unhideWhenUsed/>
    <w:uiPriority w:val="39"/>
    <w:pPr>
      <w:ind w:left="2940" w:leftChars="1400"/>
    </w:pPr>
  </w:style>
  <w:style w:type="paragraph" w:styleId="10">
    <w:name w:val="Balloon Text"/>
    <w:basedOn w:val="1"/>
    <w:link w:val="20"/>
    <w:semiHidden/>
    <w:unhideWhenUsed/>
    <w:uiPriority w:val="99"/>
    <w:rPr>
      <w:sz w:val="18"/>
      <w:szCs w:val="18"/>
    </w:rPr>
  </w:style>
  <w:style w:type="paragraph" w:styleId="11">
    <w:name w:val="footer"/>
    <w:basedOn w:val="1"/>
    <w:link w:val="23"/>
    <w:qFormat/>
    <w:uiPriority w:val="0"/>
    <w:pPr>
      <w:tabs>
        <w:tab w:val="center" w:pos="4153"/>
        <w:tab w:val="right" w:pos="8306"/>
      </w:tabs>
      <w:snapToGrid w:val="0"/>
      <w:jc w:val="left"/>
    </w:pPr>
    <w:rPr>
      <w:sz w:val="18"/>
      <w:szCs w:val="18"/>
    </w:rPr>
  </w:style>
  <w:style w:type="paragraph" w:styleId="12">
    <w:name w:val="toc 1"/>
    <w:basedOn w:val="1"/>
    <w:next w:val="1"/>
    <w:unhideWhenUsed/>
    <w:uiPriority w:val="39"/>
  </w:style>
  <w:style w:type="paragraph" w:styleId="13">
    <w:name w:val="toc 4"/>
    <w:basedOn w:val="1"/>
    <w:next w:val="1"/>
    <w:unhideWhenUsed/>
    <w:uiPriority w:val="39"/>
    <w:pPr>
      <w:ind w:left="1260" w:leftChars="600"/>
    </w:pPr>
  </w:style>
  <w:style w:type="paragraph" w:styleId="14">
    <w:name w:val="toc 6"/>
    <w:basedOn w:val="1"/>
    <w:next w:val="1"/>
    <w:unhideWhenUsed/>
    <w:uiPriority w:val="39"/>
    <w:pPr>
      <w:ind w:left="2100" w:leftChars="1000"/>
    </w:pPr>
  </w:style>
  <w:style w:type="paragraph" w:styleId="15">
    <w:name w:val="toc 2"/>
    <w:basedOn w:val="1"/>
    <w:next w:val="1"/>
    <w:unhideWhenUsed/>
    <w:uiPriority w:val="39"/>
    <w:pPr>
      <w:ind w:left="420" w:leftChars="200"/>
    </w:pPr>
  </w:style>
  <w:style w:type="paragraph" w:styleId="16">
    <w:name w:val="toc 9"/>
    <w:basedOn w:val="1"/>
    <w:next w:val="1"/>
    <w:unhideWhenUsed/>
    <w:uiPriority w:val="39"/>
    <w:pPr>
      <w:ind w:left="3360" w:leftChars="1600"/>
    </w:pPr>
  </w:style>
  <w:style w:type="character" w:styleId="19">
    <w:name w:val="Hyperlink"/>
    <w:basedOn w:val="18"/>
    <w:unhideWhenUsed/>
    <w:uiPriority w:val="99"/>
    <w:rPr>
      <w:color w:val="0000FF" w:themeColor="hyperlink"/>
      <w:u w:val="single"/>
      <w14:textFill>
        <w14:solidFill>
          <w14:schemeClr w14:val="hlink"/>
        </w14:solidFill>
      </w14:textFill>
    </w:rPr>
  </w:style>
  <w:style w:type="character" w:customStyle="1" w:styleId="20">
    <w:name w:val="批注框文本 Char"/>
    <w:basedOn w:val="18"/>
    <w:link w:val="10"/>
    <w:semiHidden/>
    <w:uiPriority w:val="99"/>
    <w:rPr>
      <w:sz w:val="18"/>
      <w:szCs w:val="18"/>
    </w:rPr>
  </w:style>
  <w:style w:type="character" w:customStyle="1" w:styleId="21">
    <w:name w:val="正文文本 Char"/>
    <w:basedOn w:val="18"/>
    <w:link w:val="6"/>
    <w:semiHidden/>
    <w:uiPriority w:val="0"/>
    <w:rPr>
      <w:rFonts w:ascii="宋体" w:hAnsi="宋体" w:eastAsia="宋体" w:cs="宋体"/>
      <w:snapToGrid w:val="0"/>
      <w:color w:val="000000"/>
      <w:kern w:val="0"/>
      <w:sz w:val="28"/>
      <w:szCs w:val="28"/>
      <w:lang w:eastAsia="en-US"/>
    </w:rPr>
  </w:style>
  <w:style w:type="paragraph" w:styleId="22">
    <w:name w:val="List Paragraph"/>
    <w:basedOn w:val="1"/>
    <w:link w:val="30"/>
    <w:qFormat/>
    <w:uiPriority w:val="34"/>
    <w:pPr>
      <w:ind w:firstLine="420" w:firstLineChars="200"/>
    </w:pPr>
  </w:style>
  <w:style w:type="character" w:customStyle="1" w:styleId="23">
    <w:name w:val="页脚 Char"/>
    <w:basedOn w:val="18"/>
    <w:link w:val="11"/>
    <w:qFormat/>
    <w:uiPriority w:val="0"/>
    <w:rPr>
      <w:sz w:val="18"/>
      <w:szCs w:val="18"/>
    </w:rPr>
  </w:style>
  <w:style w:type="paragraph" w:customStyle="1" w:styleId="24">
    <w:name w:val="WPSOffice手动目录 1"/>
    <w:uiPriority w:val="0"/>
    <w:rPr>
      <w:rFonts w:asciiTheme="minorHAnsi" w:hAnsiTheme="minorHAnsi" w:eastAsiaTheme="minorEastAsia" w:cstheme="minorBidi"/>
      <w:lang w:val="en-US" w:eastAsia="zh-CN" w:bidi="ar-SA"/>
    </w:rPr>
  </w:style>
  <w:style w:type="paragraph" w:customStyle="1" w:styleId="25">
    <w:name w:val="WPSOffice手动目录 2"/>
    <w:uiPriority w:val="0"/>
    <w:pPr>
      <w:ind w:left="200" w:leftChars="200"/>
    </w:pPr>
    <w:rPr>
      <w:rFonts w:asciiTheme="minorHAnsi" w:hAnsiTheme="minorHAnsi" w:eastAsiaTheme="minorEastAsia" w:cstheme="minorBidi"/>
      <w:lang w:val="en-US" w:eastAsia="zh-CN" w:bidi="ar-SA"/>
    </w:rPr>
  </w:style>
  <w:style w:type="character" w:customStyle="1" w:styleId="26">
    <w:name w:val="标题 1 Char"/>
    <w:link w:val="2"/>
    <w:uiPriority w:val="0"/>
    <w:rPr>
      <w:b/>
      <w:kern w:val="44"/>
      <w:sz w:val="44"/>
    </w:rPr>
  </w:style>
  <w:style w:type="character" w:customStyle="1" w:styleId="27">
    <w:name w:val="标题 2 Char"/>
    <w:link w:val="3"/>
    <w:uiPriority w:val="0"/>
    <w:rPr>
      <w:rFonts w:ascii="Arial" w:hAnsi="Arial" w:eastAsia="黑体"/>
      <w:b/>
      <w:sz w:val="32"/>
    </w:rPr>
  </w:style>
  <w:style w:type="character" w:customStyle="1" w:styleId="28">
    <w:name w:val="标题 3 Char"/>
    <w:link w:val="4"/>
    <w:uiPriority w:val="0"/>
    <w:rPr>
      <w:b/>
      <w:sz w:val="32"/>
    </w:rPr>
  </w:style>
  <w:style w:type="character" w:customStyle="1" w:styleId="29">
    <w:name w:val="目录 7 Char"/>
    <w:link w:val="5"/>
    <w:uiPriority w:val="39"/>
  </w:style>
  <w:style w:type="character" w:customStyle="1" w:styleId="30">
    <w:name w:val="List Paragraph Char"/>
    <w:link w:val="22"/>
    <w:uiPriority w:val="34"/>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customXml" Target="../customXml/item1.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 StyleName=""/>
</file>

<file path=customXml/itemProps1.xml><?xml version="1.0" encoding="utf-8"?>
<ds:datastoreItem xmlns:ds="http://schemas.openxmlformats.org/officeDocument/2006/customXml" ds:itemID="{BFB381C6-8575-49D4-9A1E-39BDF467AAD2}">
  <ds:schemaRefs/>
</ds:datastoreItem>
</file>

<file path=docProps/app.xml><?xml version="1.0" encoding="utf-8"?>
<Properties xmlns="http://schemas.openxmlformats.org/officeDocument/2006/extended-properties" xmlns:vt="http://schemas.openxmlformats.org/officeDocument/2006/docPropsVTypes">
  <Template>Normal</Template>
  <Pages>25</Pages>
  <Words>11400</Words>
  <Characters>11793</Characters>
  <Lines>100</Lines>
  <Paragraphs>28</Paragraphs>
  <TotalTime>219</TotalTime>
  <ScaleCrop>false</ScaleCrop>
  <LinksUpToDate>false</LinksUpToDate>
  <CharactersWithSpaces>11818</CharactersWithSpaces>
  <Application>WPS Office_12.1.0.18608_F1E327BC-269C-435d-A152-05C5408002CA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2023-08-09T06:24:00Z</dcterms:created>
  <dc:creator>lrn</dc:creator>
  <cp:lastModifiedBy>陆佩荧</cp:lastModifiedBy>
  <dcterms:modified xsi:type="dcterms:W3CDTF">2024-11-13T09:18:07Z</dcterms:modified>
  <cp:revision>13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2052-12.1.0.18608</vt:lpwstr>
  </property>
  <property fmtid="{D5CDD505-2E9C-101B-9397-08002B2CF9AE}" pid="3" name="ICV">
    <vt:lpwstr>8BEAA216C6584BFFB8E4369434182230_13</vt:lpwstr>
  </property>
</Properties>
</file>