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exact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附件一 供应商评估表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>编号：</w:t>
      </w:r>
    </w:p>
    <w:tbl>
      <w:tblPr>
        <w:tblStyle w:val="3"/>
        <w:tblW w:w="91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"/>
        <w:gridCol w:w="540"/>
        <w:gridCol w:w="1080"/>
        <w:gridCol w:w="1905"/>
        <w:gridCol w:w="1470"/>
        <w:gridCol w:w="630"/>
        <w:gridCol w:w="735"/>
        <w:gridCol w:w="840"/>
        <w:gridCol w:w="210"/>
        <w:gridCol w:w="12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0" w:hRule="atLeast"/>
        </w:trPr>
        <w:tc>
          <w:tcPr>
            <w:tcW w:w="2088" w:type="dxa"/>
            <w:gridSpan w:val="3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企业名称</w:t>
            </w:r>
          </w:p>
        </w:tc>
        <w:tc>
          <w:tcPr>
            <w:tcW w:w="4740" w:type="dxa"/>
            <w:gridSpan w:val="4"/>
          </w:tcPr>
          <w:p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大连飞创信息技术有限公司</w:t>
            </w:r>
          </w:p>
        </w:tc>
        <w:tc>
          <w:tcPr>
            <w:tcW w:w="840" w:type="dxa"/>
            <w:vAlign w:val="center"/>
          </w:tcPr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电话</w:t>
            </w:r>
          </w:p>
        </w:tc>
        <w:tc>
          <w:tcPr>
            <w:tcW w:w="1470" w:type="dxa"/>
            <w:gridSpan w:val="2"/>
          </w:tcPr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16"/>
                <w:szCs w:val="13"/>
              </w:rPr>
              <w:t>0411-8480</w:t>
            </w:r>
            <w:r>
              <w:rPr>
                <w:rFonts w:ascii="宋体" w:hAnsi="宋体"/>
                <w:sz w:val="16"/>
                <w:szCs w:val="13"/>
              </w:rPr>
              <w:t>6046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0" w:hRule="atLeast"/>
        </w:trPr>
        <w:tc>
          <w:tcPr>
            <w:tcW w:w="2088" w:type="dxa"/>
            <w:gridSpan w:val="3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单位地址</w:t>
            </w:r>
          </w:p>
        </w:tc>
        <w:tc>
          <w:tcPr>
            <w:tcW w:w="4740" w:type="dxa"/>
            <w:gridSpan w:val="4"/>
          </w:tcPr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大连市沙河口区会展路129号期货大厦</w:t>
            </w:r>
          </w:p>
        </w:tc>
        <w:tc>
          <w:tcPr>
            <w:tcW w:w="840" w:type="dxa"/>
          </w:tcPr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邮编</w:t>
            </w:r>
          </w:p>
        </w:tc>
        <w:tc>
          <w:tcPr>
            <w:tcW w:w="1470" w:type="dxa"/>
            <w:gridSpan w:val="2"/>
          </w:tcPr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微软雅黑" w:hAnsi="微软雅黑" w:eastAsia="微软雅黑"/>
                <w:color w:val="000000"/>
                <w:sz w:val="15"/>
                <w:szCs w:val="15"/>
                <w:shd w:val="clear" w:color="auto" w:fill="FFFFFF"/>
              </w:rPr>
              <w:t>116023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0" w:hRule="atLeast"/>
        </w:trPr>
        <w:tc>
          <w:tcPr>
            <w:tcW w:w="2088" w:type="dxa"/>
            <w:gridSpan w:val="3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法人代表</w:t>
            </w:r>
          </w:p>
        </w:tc>
        <w:tc>
          <w:tcPr>
            <w:tcW w:w="1905" w:type="dxa"/>
            <w:vAlign w:val="center"/>
          </w:tcPr>
          <w:p>
            <w:pPr>
              <w:rPr>
                <w:rFonts w:hint="eastAsia" w:ascii="宋体" w:hAnsi="宋体" w:eastAsia="宋体"/>
                <w:szCs w:val="21"/>
                <w:lang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潘文锋</w:t>
            </w:r>
          </w:p>
        </w:tc>
        <w:tc>
          <w:tcPr>
            <w:tcW w:w="1470" w:type="dxa"/>
            <w:vAlign w:val="center"/>
          </w:tcPr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业务联系人</w:t>
            </w:r>
          </w:p>
        </w:tc>
        <w:tc>
          <w:tcPr>
            <w:tcW w:w="1365" w:type="dxa"/>
            <w:gridSpan w:val="2"/>
            <w:vAlign w:val="center"/>
          </w:tcPr>
          <w:p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姜英莹</w:t>
            </w:r>
          </w:p>
        </w:tc>
        <w:tc>
          <w:tcPr>
            <w:tcW w:w="840" w:type="dxa"/>
            <w:vAlign w:val="center"/>
          </w:tcPr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传真</w:t>
            </w:r>
          </w:p>
        </w:tc>
        <w:tc>
          <w:tcPr>
            <w:tcW w:w="1470" w:type="dxa"/>
            <w:gridSpan w:val="2"/>
            <w:vAlign w:val="center"/>
          </w:tcPr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16"/>
                <w:szCs w:val="13"/>
              </w:rPr>
              <w:t>0411-84807397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70" w:hRule="atLeast"/>
        </w:trPr>
        <w:tc>
          <w:tcPr>
            <w:tcW w:w="2088" w:type="dxa"/>
            <w:gridSpan w:val="3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主要产品 </w:t>
            </w:r>
          </w:p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/服务项目</w:t>
            </w:r>
          </w:p>
        </w:tc>
        <w:tc>
          <w:tcPr>
            <w:tcW w:w="7050" w:type="dxa"/>
            <w:gridSpan w:val="7"/>
          </w:tcPr>
          <w:p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ascii="宋体" w:hAnsi="宋体"/>
                <w:szCs w:val="21"/>
              </w:rPr>
              <w:t>大连托管机房机柜租赁服务</w:t>
            </w:r>
            <w:r>
              <w:rPr>
                <w:rFonts w:hint="eastAsia" w:ascii="宋体" w:hAnsi="宋体"/>
                <w:szCs w:val="21"/>
                <w:lang w:eastAsia="zh-CN"/>
              </w:rPr>
              <w:t>、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DCE X-One主席交易系统、DCE X-One极速交易系统，DCE财讯通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6" w:hRule="atLeast"/>
        </w:trPr>
        <w:tc>
          <w:tcPr>
            <w:tcW w:w="2088" w:type="dxa"/>
            <w:gridSpan w:val="3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评估内容</w:t>
            </w:r>
          </w:p>
        </w:tc>
        <w:tc>
          <w:tcPr>
            <w:tcW w:w="4005" w:type="dxa"/>
            <w:gridSpan w:val="3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评估情况</w:t>
            </w:r>
          </w:p>
        </w:tc>
        <w:tc>
          <w:tcPr>
            <w:tcW w:w="1785" w:type="dxa"/>
            <w:gridSpan w:val="3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评估分数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评估人员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0" w:hRule="atLeast"/>
        </w:trPr>
        <w:tc>
          <w:tcPr>
            <w:tcW w:w="468" w:type="dxa"/>
            <w:vMerge w:val="restart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供应商资质</w:t>
            </w:r>
          </w:p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（20%）</w:t>
            </w:r>
          </w:p>
        </w:tc>
        <w:tc>
          <w:tcPr>
            <w:tcW w:w="1620" w:type="dxa"/>
            <w:gridSpan w:val="2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营业执照</w:t>
            </w:r>
          </w:p>
        </w:tc>
        <w:tc>
          <w:tcPr>
            <w:tcW w:w="4005" w:type="dxa"/>
            <w:gridSpan w:val="3"/>
            <w:vAlign w:val="center"/>
          </w:tcPr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91210231773030578</w:t>
            </w:r>
            <w:r>
              <w:rPr>
                <w:rFonts w:ascii="仿宋_GB2312" w:eastAsia="仿宋_GB2312"/>
                <w:szCs w:val="21"/>
              </w:rPr>
              <w:t>G</w:t>
            </w:r>
          </w:p>
        </w:tc>
        <w:tc>
          <w:tcPr>
            <w:tcW w:w="1785" w:type="dxa"/>
            <w:gridSpan w:val="3"/>
            <w:vMerge w:val="restart"/>
          </w:tcPr>
          <w:p>
            <w:pPr>
              <w:rPr>
                <w:rFonts w:ascii="宋体" w:hAnsi="宋体"/>
                <w:szCs w:val="21"/>
              </w:rPr>
            </w:pPr>
          </w:p>
        </w:tc>
        <w:tc>
          <w:tcPr>
            <w:tcW w:w="1260" w:type="dxa"/>
            <w:vMerge w:val="restart"/>
          </w:tcPr>
          <w:p>
            <w:pPr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0" w:hRule="atLeast"/>
        </w:trPr>
        <w:tc>
          <w:tcPr>
            <w:tcW w:w="468" w:type="dxa"/>
            <w:vMerge w:val="continue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20" w:type="dxa"/>
            <w:gridSpan w:val="2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税务登记证</w:t>
            </w:r>
          </w:p>
        </w:tc>
        <w:tc>
          <w:tcPr>
            <w:tcW w:w="4005" w:type="dxa"/>
            <w:gridSpan w:val="3"/>
            <w:vAlign w:val="center"/>
          </w:tcPr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91210231773030578G</w:t>
            </w:r>
          </w:p>
        </w:tc>
        <w:tc>
          <w:tcPr>
            <w:tcW w:w="1785" w:type="dxa"/>
            <w:gridSpan w:val="3"/>
            <w:vMerge w:val="continue"/>
            <w:vAlign w:val="center"/>
          </w:tcPr>
          <w:p>
            <w:pPr>
              <w:rPr>
                <w:rFonts w:ascii="宋体" w:hAnsi="宋体"/>
                <w:szCs w:val="21"/>
              </w:rPr>
            </w:pPr>
          </w:p>
        </w:tc>
        <w:tc>
          <w:tcPr>
            <w:tcW w:w="1260" w:type="dxa"/>
            <w:vMerge w:val="continue"/>
          </w:tcPr>
          <w:p>
            <w:pPr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0" w:hRule="atLeast"/>
        </w:trPr>
        <w:tc>
          <w:tcPr>
            <w:tcW w:w="468" w:type="dxa"/>
            <w:vMerge w:val="continue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20" w:type="dxa"/>
            <w:gridSpan w:val="2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注册资金</w:t>
            </w:r>
          </w:p>
        </w:tc>
        <w:tc>
          <w:tcPr>
            <w:tcW w:w="4005" w:type="dxa"/>
            <w:gridSpan w:val="3"/>
            <w:vAlign w:val="center"/>
          </w:tcPr>
          <w:p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人民币肆亿元整</w:t>
            </w:r>
          </w:p>
        </w:tc>
        <w:tc>
          <w:tcPr>
            <w:tcW w:w="1785" w:type="dxa"/>
            <w:gridSpan w:val="3"/>
            <w:vMerge w:val="continue"/>
            <w:vAlign w:val="center"/>
          </w:tcPr>
          <w:p>
            <w:pPr>
              <w:rPr>
                <w:rFonts w:ascii="宋体" w:hAnsi="宋体"/>
                <w:szCs w:val="21"/>
              </w:rPr>
            </w:pPr>
          </w:p>
        </w:tc>
        <w:tc>
          <w:tcPr>
            <w:tcW w:w="1260" w:type="dxa"/>
            <w:vMerge w:val="continue"/>
          </w:tcPr>
          <w:p>
            <w:pPr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0" w:hRule="atLeast"/>
        </w:trPr>
        <w:tc>
          <w:tcPr>
            <w:tcW w:w="468" w:type="dxa"/>
            <w:vMerge w:val="continue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20" w:type="dxa"/>
            <w:gridSpan w:val="2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经营地址</w:t>
            </w:r>
          </w:p>
        </w:tc>
        <w:tc>
          <w:tcPr>
            <w:tcW w:w="4005" w:type="dxa"/>
            <w:gridSpan w:val="3"/>
            <w:vAlign w:val="center"/>
          </w:tcPr>
          <w:p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辽宁省大连</w:t>
            </w:r>
            <w:r>
              <w:rPr>
                <w:rFonts w:hint="eastAsia" w:ascii="宋体" w:hAnsi="宋体"/>
                <w:szCs w:val="21"/>
              </w:rPr>
              <w:t>市</w:t>
            </w:r>
          </w:p>
        </w:tc>
        <w:tc>
          <w:tcPr>
            <w:tcW w:w="1785" w:type="dxa"/>
            <w:gridSpan w:val="3"/>
            <w:vMerge w:val="continue"/>
            <w:vAlign w:val="center"/>
          </w:tcPr>
          <w:p>
            <w:pPr>
              <w:rPr>
                <w:rFonts w:ascii="宋体" w:hAnsi="宋体"/>
                <w:szCs w:val="21"/>
              </w:rPr>
            </w:pPr>
          </w:p>
        </w:tc>
        <w:tc>
          <w:tcPr>
            <w:tcW w:w="1260" w:type="dxa"/>
            <w:vMerge w:val="continue"/>
          </w:tcPr>
          <w:p>
            <w:pPr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0" w:hRule="atLeast"/>
        </w:trPr>
        <w:tc>
          <w:tcPr>
            <w:tcW w:w="468" w:type="dxa"/>
            <w:vMerge w:val="continue"/>
            <w:vAlign w:val="center"/>
          </w:tcPr>
          <w:p>
            <w:pPr>
              <w:rPr>
                <w:rFonts w:ascii="宋体" w:hAnsi="宋体"/>
                <w:szCs w:val="21"/>
              </w:rPr>
            </w:pPr>
          </w:p>
        </w:tc>
        <w:tc>
          <w:tcPr>
            <w:tcW w:w="1620" w:type="dxa"/>
            <w:gridSpan w:val="2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经营范围</w:t>
            </w:r>
          </w:p>
        </w:tc>
        <w:tc>
          <w:tcPr>
            <w:tcW w:w="4005" w:type="dxa"/>
            <w:gridSpan w:val="3"/>
            <w:vAlign w:val="center"/>
          </w:tcPr>
          <w:p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法律</w:t>
            </w:r>
            <w:r>
              <w:rPr>
                <w:rFonts w:hint="eastAsia" w:ascii="宋体" w:hAnsi="宋体"/>
                <w:szCs w:val="21"/>
              </w:rPr>
              <w:t>、</w:t>
            </w:r>
            <w:r>
              <w:rPr>
                <w:rFonts w:ascii="宋体" w:hAnsi="宋体"/>
                <w:szCs w:val="21"/>
              </w:rPr>
              <w:t>法规禁止的</w:t>
            </w:r>
            <w:r>
              <w:rPr>
                <w:rFonts w:hint="eastAsia" w:ascii="宋体" w:hAnsi="宋体"/>
                <w:szCs w:val="21"/>
              </w:rPr>
              <w:t>，</w:t>
            </w:r>
            <w:r>
              <w:rPr>
                <w:rFonts w:ascii="宋体" w:hAnsi="宋体"/>
                <w:szCs w:val="21"/>
              </w:rPr>
              <w:t>不得经营</w:t>
            </w:r>
            <w:r>
              <w:rPr>
                <w:rFonts w:hint="eastAsia" w:ascii="宋体" w:hAnsi="宋体"/>
                <w:szCs w:val="21"/>
              </w:rPr>
              <w:t>；</w:t>
            </w:r>
            <w:r>
              <w:rPr>
                <w:rFonts w:ascii="宋体" w:hAnsi="宋体"/>
                <w:szCs w:val="21"/>
              </w:rPr>
              <w:t>应经审批的</w:t>
            </w:r>
            <w:r>
              <w:rPr>
                <w:rFonts w:hint="eastAsia" w:ascii="宋体" w:hAnsi="宋体"/>
                <w:szCs w:val="21"/>
              </w:rPr>
              <w:t>，</w:t>
            </w:r>
            <w:r>
              <w:rPr>
                <w:rFonts w:ascii="宋体" w:hAnsi="宋体"/>
                <w:szCs w:val="21"/>
              </w:rPr>
              <w:t>未获审批前不得经营</w:t>
            </w:r>
            <w:r>
              <w:rPr>
                <w:rFonts w:hint="eastAsia" w:ascii="宋体" w:hAnsi="宋体"/>
                <w:szCs w:val="21"/>
              </w:rPr>
              <w:t>；</w:t>
            </w:r>
            <w:r>
              <w:rPr>
                <w:rFonts w:ascii="宋体" w:hAnsi="宋体"/>
                <w:szCs w:val="21"/>
              </w:rPr>
              <w:t>法律</w:t>
            </w:r>
            <w:r>
              <w:rPr>
                <w:rFonts w:hint="eastAsia" w:ascii="宋体" w:hAnsi="宋体"/>
                <w:szCs w:val="21"/>
              </w:rPr>
              <w:t>、</w:t>
            </w:r>
            <w:r>
              <w:rPr>
                <w:rFonts w:ascii="宋体" w:hAnsi="宋体"/>
                <w:szCs w:val="21"/>
              </w:rPr>
              <w:t>法规未规定审批的</w:t>
            </w:r>
            <w:r>
              <w:rPr>
                <w:rFonts w:hint="eastAsia" w:ascii="宋体" w:hAnsi="宋体"/>
                <w:szCs w:val="21"/>
              </w:rPr>
              <w:t>，</w:t>
            </w:r>
            <w:r>
              <w:rPr>
                <w:rFonts w:ascii="宋体" w:hAnsi="宋体"/>
                <w:szCs w:val="21"/>
              </w:rPr>
              <w:t>企业自主选择经营项目</w:t>
            </w:r>
            <w:r>
              <w:rPr>
                <w:rFonts w:hint="eastAsia" w:ascii="宋体" w:hAnsi="宋体"/>
                <w:szCs w:val="21"/>
              </w:rPr>
              <w:t>，</w:t>
            </w:r>
            <w:r>
              <w:rPr>
                <w:rFonts w:ascii="宋体" w:hAnsi="宋体"/>
                <w:szCs w:val="21"/>
              </w:rPr>
              <w:t>开展经营活动</w:t>
            </w:r>
            <w:r>
              <w:rPr>
                <w:rFonts w:hint="eastAsia" w:ascii="宋体" w:hAnsi="宋体"/>
                <w:szCs w:val="21"/>
              </w:rPr>
              <w:t>。（依法须经批准的项目，经相关部门批准后方可开展经营活动）</w:t>
            </w:r>
          </w:p>
        </w:tc>
        <w:tc>
          <w:tcPr>
            <w:tcW w:w="1785" w:type="dxa"/>
            <w:gridSpan w:val="3"/>
            <w:vMerge w:val="continue"/>
            <w:vAlign w:val="center"/>
          </w:tcPr>
          <w:p>
            <w:pPr>
              <w:rPr>
                <w:rFonts w:ascii="宋体" w:hAnsi="宋体"/>
                <w:szCs w:val="21"/>
              </w:rPr>
            </w:pPr>
          </w:p>
        </w:tc>
        <w:tc>
          <w:tcPr>
            <w:tcW w:w="1260" w:type="dxa"/>
            <w:vMerge w:val="continue"/>
          </w:tcPr>
          <w:p>
            <w:pPr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0" w:hRule="atLeast"/>
        </w:trPr>
        <w:tc>
          <w:tcPr>
            <w:tcW w:w="468" w:type="dxa"/>
            <w:vMerge w:val="continue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20" w:type="dxa"/>
            <w:gridSpan w:val="2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特许经营</w:t>
            </w:r>
          </w:p>
        </w:tc>
        <w:tc>
          <w:tcPr>
            <w:tcW w:w="4005" w:type="dxa"/>
            <w:gridSpan w:val="3"/>
            <w:vAlign w:val="center"/>
          </w:tcPr>
          <w:p>
            <w:pPr>
              <w:rPr>
                <w:rFonts w:ascii="宋体" w:hAnsi="宋体"/>
                <w:szCs w:val="21"/>
              </w:rPr>
            </w:pPr>
          </w:p>
        </w:tc>
        <w:tc>
          <w:tcPr>
            <w:tcW w:w="1785" w:type="dxa"/>
            <w:gridSpan w:val="3"/>
            <w:vMerge w:val="continue"/>
            <w:vAlign w:val="center"/>
          </w:tcPr>
          <w:p>
            <w:pPr>
              <w:rPr>
                <w:rFonts w:ascii="宋体" w:hAnsi="宋体"/>
                <w:szCs w:val="21"/>
              </w:rPr>
            </w:pPr>
          </w:p>
        </w:tc>
        <w:tc>
          <w:tcPr>
            <w:tcW w:w="1260" w:type="dxa"/>
            <w:vMerge w:val="continue"/>
          </w:tcPr>
          <w:p>
            <w:pPr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3" w:hRule="atLeast"/>
        </w:trPr>
        <w:tc>
          <w:tcPr>
            <w:tcW w:w="2088" w:type="dxa"/>
            <w:gridSpan w:val="3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认证资质（CMMI,系统集成、信息安全集成等）（30%）</w:t>
            </w:r>
          </w:p>
        </w:tc>
        <w:tc>
          <w:tcPr>
            <w:tcW w:w="4005" w:type="dxa"/>
            <w:gridSpan w:val="3"/>
            <w:vAlign w:val="center"/>
          </w:tcPr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ISO27001信息安全体系认证，CMMI5， ISO2000， 国家实验室</w:t>
            </w:r>
          </w:p>
        </w:tc>
        <w:tc>
          <w:tcPr>
            <w:tcW w:w="1785" w:type="dxa"/>
            <w:gridSpan w:val="3"/>
            <w:vAlign w:val="center"/>
          </w:tcPr>
          <w:p>
            <w:pPr>
              <w:rPr>
                <w:rFonts w:ascii="宋体" w:hAnsi="宋体"/>
                <w:szCs w:val="21"/>
              </w:rPr>
            </w:pPr>
          </w:p>
        </w:tc>
        <w:tc>
          <w:tcPr>
            <w:tcW w:w="1260" w:type="dxa"/>
          </w:tcPr>
          <w:p>
            <w:pPr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5" w:hRule="atLeast"/>
        </w:trPr>
        <w:tc>
          <w:tcPr>
            <w:tcW w:w="2088" w:type="dxa"/>
            <w:gridSpan w:val="3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三年内经营状况</w:t>
            </w:r>
          </w:p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（附财务报表）（10%）</w:t>
            </w:r>
          </w:p>
        </w:tc>
        <w:tc>
          <w:tcPr>
            <w:tcW w:w="4005" w:type="dxa"/>
            <w:gridSpan w:val="3"/>
            <w:vAlign w:val="center"/>
          </w:tcPr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稳定盈利</w:t>
            </w:r>
          </w:p>
        </w:tc>
        <w:tc>
          <w:tcPr>
            <w:tcW w:w="1785" w:type="dxa"/>
            <w:gridSpan w:val="3"/>
            <w:vAlign w:val="center"/>
          </w:tcPr>
          <w:p>
            <w:pPr>
              <w:rPr>
                <w:rFonts w:ascii="宋体" w:hAnsi="宋体"/>
                <w:szCs w:val="21"/>
              </w:rPr>
            </w:pPr>
          </w:p>
        </w:tc>
        <w:tc>
          <w:tcPr>
            <w:tcW w:w="1260" w:type="dxa"/>
          </w:tcPr>
          <w:p>
            <w:pPr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4" w:hRule="atLeast"/>
        </w:trPr>
        <w:tc>
          <w:tcPr>
            <w:tcW w:w="2088" w:type="dxa"/>
            <w:gridSpan w:val="3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相近行业成功案例</w:t>
            </w:r>
          </w:p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（附案例联系人和联系方式）（20%）</w:t>
            </w:r>
          </w:p>
        </w:tc>
        <w:tc>
          <w:tcPr>
            <w:tcW w:w="4005" w:type="dxa"/>
            <w:gridSpan w:val="3"/>
            <w:vAlign w:val="center"/>
          </w:tcPr>
          <w:p>
            <w:pPr>
              <w:rPr>
                <w:rFonts w:hint="eastAsia"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持续为海通期货提供机柜租赁服务及</w:t>
            </w:r>
            <w:r>
              <w:rPr>
                <w:rFonts w:hint="eastAsia" w:ascii="宋体" w:hAnsi="宋体"/>
                <w:szCs w:val="21"/>
              </w:rPr>
              <w:t>X-One业务等各类业务和服务。联系人：王云龙18939993989</w:t>
            </w:r>
          </w:p>
        </w:tc>
        <w:tc>
          <w:tcPr>
            <w:tcW w:w="1785" w:type="dxa"/>
            <w:gridSpan w:val="3"/>
            <w:vAlign w:val="center"/>
          </w:tcPr>
          <w:p>
            <w:pPr>
              <w:rPr>
                <w:rFonts w:ascii="宋体" w:hAnsi="宋体"/>
                <w:szCs w:val="21"/>
              </w:rPr>
            </w:pPr>
          </w:p>
        </w:tc>
        <w:tc>
          <w:tcPr>
            <w:tcW w:w="1260" w:type="dxa"/>
          </w:tcPr>
          <w:p>
            <w:pPr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2088" w:type="dxa"/>
            <w:gridSpan w:val="3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公司能力</w:t>
            </w:r>
          </w:p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（供应商项目服务、管理状况、信息安全意识、员工素质等方面）（20%）</w:t>
            </w:r>
          </w:p>
        </w:tc>
        <w:tc>
          <w:tcPr>
            <w:tcW w:w="4005" w:type="dxa"/>
            <w:gridSpan w:val="3"/>
            <w:vAlign w:val="center"/>
          </w:tcPr>
          <w:p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大连飞创信息技术有限公司于2005年5月31日注册成立，是大连商品交易所的下属全资子公司，注册资金4亿元。公司承载着“面向交易所、面向市场”的使命，专注于金融IT服务领域，倡导“专业、创新、服务、共赢”的价值观，在产品研发、软件测试、行业解决方案、链路托管服务、信息行情经营等方面构筑领先优势，为行业核心机构、会员、投资者提供高品质、专业化的技术产品和服务，致力于打造优秀的金融IT企业。</w:t>
            </w:r>
          </w:p>
        </w:tc>
        <w:tc>
          <w:tcPr>
            <w:tcW w:w="1785" w:type="dxa"/>
            <w:gridSpan w:val="3"/>
            <w:vAlign w:val="center"/>
          </w:tcPr>
          <w:p>
            <w:pPr>
              <w:rPr>
                <w:rFonts w:ascii="宋体" w:hAnsi="宋体"/>
                <w:szCs w:val="21"/>
              </w:rPr>
            </w:pPr>
          </w:p>
        </w:tc>
        <w:tc>
          <w:tcPr>
            <w:tcW w:w="1260" w:type="dxa"/>
          </w:tcPr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6" w:hRule="atLeast"/>
        </w:trPr>
        <w:tc>
          <w:tcPr>
            <w:tcW w:w="2088" w:type="dxa"/>
            <w:gridSpan w:val="3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 估说 明</w:t>
            </w:r>
          </w:p>
        </w:tc>
        <w:tc>
          <w:tcPr>
            <w:tcW w:w="7050" w:type="dxa"/>
            <w:gridSpan w:val="7"/>
            <w:vAlign w:val="center"/>
          </w:tcPr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各项目和岗位依据项目和服务特性拟订具体打分细则，评分为70分以上的入围。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10" w:hRule="atLeast"/>
        </w:trPr>
        <w:tc>
          <w:tcPr>
            <w:tcW w:w="1008" w:type="dxa"/>
            <w:gridSpan w:val="2"/>
            <w:textDirection w:val="tbRlV"/>
            <w:vAlign w:val="center"/>
          </w:tcPr>
          <w:p>
            <w:pPr>
              <w:ind w:left="113" w:right="113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 估 结 论</w:t>
            </w:r>
          </w:p>
        </w:tc>
        <w:tc>
          <w:tcPr>
            <w:tcW w:w="8130" w:type="dxa"/>
            <w:gridSpan w:val="8"/>
          </w:tcPr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  <w:u w:val="single"/>
              </w:rPr>
            </w:pPr>
            <w:r>
              <w:rPr>
                <w:rFonts w:hint="eastAsia" w:ascii="宋体" w:hAnsi="宋体"/>
                <w:szCs w:val="21"/>
              </w:rPr>
              <w:t>该企业平均得分：</w:t>
            </w:r>
          </w:p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结论：</w:t>
            </w: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ind w:firstLine="5040" w:firstLineChars="24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签字：</w:t>
            </w:r>
          </w:p>
          <w:p>
            <w:pPr>
              <w:ind w:firstLine="5040" w:firstLineChars="2400"/>
              <w:rPr>
                <w:rFonts w:ascii="宋体" w:hAnsi="宋体"/>
                <w:szCs w:val="21"/>
              </w:rPr>
            </w:pPr>
          </w:p>
          <w:p>
            <w:pPr>
              <w:ind w:firstLine="5040" w:firstLineChars="24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日期：   年   月   日</w:t>
            </w:r>
          </w:p>
        </w:tc>
      </w:tr>
    </w:tbl>
    <w:p>
      <w:pPr>
        <w:spacing w:line="360" w:lineRule="exac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注：评定内容由相关部门对产品或服务等供应商情况作出评估并签字。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6295"/>
    <w:rsid w:val="00016EE8"/>
    <w:rsid w:val="00155937"/>
    <w:rsid w:val="003C6295"/>
    <w:rsid w:val="004A663E"/>
    <w:rsid w:val="00905832"/>
    <w:rsid w:val="00A63A45"/>
    <w:rsid w:val="1A4D055F"/>
    <w:rsid w:val="6FE82271"/>
    <w:rsid w:val="71473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uiPriority w:val="0"/>
    <w:pPr>
      <w:widowControl/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108</Words>
  <Characters>621</Characters>
  <Lines>5</Lines>
  <Paragraphs>1</Paragraphs>
  <TotalTime>38</TotalTime>
  <ScaleCrop>false</ScaleCrop>
  <LinksUpToDate>false</LinksUpToDate>
  <CharactersWithSpaces>728</CharactersWithSpaces>
  <Application>WPS Office_11.8.2.8875_F1E327BC-269C-435d-A152-05C5408002CA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SCB-JYY</cp:lastModifiedBy>
  <dcterms:modified xsi:type="dcterms:W3CDTF">2022-12-14T03:16:57Z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2052-11.8.2.8875</vt:lpwstr>
  </property>
</Properties>
</file>