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2A23E">
      <w:pPr>
        <w:numPr>
          <w:ilvl w:val="0"/>
          <w:numId w:val="1"/>
        </w:numPr>
        <w:rPr>
          <w:rFonts w:hint="default"/>
          <w:b/>
          <w:bCs/>
          <w:lang w:val="en-US" w:eastAsia="zh-CN"/>
        </w:rPr>
      </w:pPr>
      <w:r>
        <w:rPr>
          <w:rFonts w:hint="eastAsia"/>
          <w:b/>
          <w:bCs/>
          <w:lang w:val="en-US" w:eastAsia="zh-CN"/>
        </w:rPr>
        <w:t>不同品种的收盘时间会有区分，比如金银有色、原有夜盘，如何判断当前时间是否是某交易品种的收开盘时间。如何在早盘、午盘、夜盘开盘N分钟后后者收盘N分钟前禁止操作（停止开仓、平仓、止损的策略执行）？</w:t>
      </w:r>
    </w:p>
    <w:p w14:paraId="0B472ABC">
      <w:pPr>
        <w:numPr>
          <w:ilvl w:val="0"/>
          <w:numId w:val="0"/>
        </w:numPr>
        <w:rPr>
          <w:rFonts w:hint="default"/>
          <w:lang w:val="en-US" w:eastAsia="zh-CN"/>
        </w:rPr>
      </w:pPr>
      <w:r>
        <w:rPr>
          <w:rFonts w:hint="default"/>
          <w:lang w:val="en-US" w:eastAsia="zh-CN"/>
        </w:rPr>
        <w:drawing>
          <wp:inline distT="0" distB="0" distL="114300" distR="114300">
            <wp:extent cx="5270500" cy="1460500"/>
            <wp:effectExtent l="0" t="0" r="0" b="0"/>
            <wp:docPr id="1" name="图片 1" descr="67841732428ad06418afe71773c2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7841732428ad06418afe71773c25c2"/>
                    <pic:cNvPicPr>
                      <a:picLocks noChangeAspect="1"/>
                    </pic:cNvPicPr>
                  </pic:nvPicPr>
                  <pic:blipFill>
                    <a:blip r:embed="rId4"/>
                    <a:stretch>
                      <a:fillRect/>
                    </a:stretch>
                  </pic:blipFill>
                  <pic:spPr>
                    <a:xfrm>
                      <a:off x="0" y="0"/>
                      <a:ext cx="5270500" cy="1460500"/>
                    </a:xfrm>
                    <a:prstGeom prst="rect">
                      <a:avLst/>
                    </a:prstGeom>
                  </pic:spPr>
                </pic:pic>
              </a:graphicData>
            </a:graphic>
          </wp:inline>
        </w:drawing>
      </w:r>
    </w:p>
    <w:p w14:paraId="27862584">
      <w:pPr>
        <w:numPr>
          <w:ilvl w:val="0"/>
          <w:numId w:val="0"/>
        </w:numPr>
        <w:rPr>
          <w:rFonts w:hint="default"/>
          <w:u w:val="none"/>
          <w:lang w:val="en-US" w:eastAsia="zh-CN"/>
        </w:rPr>
      </w:pPr>
      <w:r>
        <w:rPr>
          <w:rFonts w:hint="default"/>
          <w:u w:val="none"/>
          <w:lang w:val="en-US" w:eastAsia="zh-CN"/>
        </w:rPr>
        <w:t>只能在给定的时间范围内发出交易信号</w:t>
      </w:r>
      <w:r>
        <w:rPr>
          <w:rFonts w:hint="eastAsia"/>
          <w:u w:val="none"/>
          <w:lang w:val="en-US" w:eastAsia="zh-CN"/>
        </w:rPr>
        <w:t>，</w:t>
      </w:r>
      <w:r>
        <w:rPr>
          <w:rFonts w:hint="default"/>
          <w:u w:val="none"/>
          <w:lang w:val="en-US" w:eastAsia="zh-CN"/>
        </w:rPr>
        <w:t>比如如果是早盘开盘收盘都是提前5分钟</w:t>
      </w:r>
      <w:r>
        <w:rPr>
          <w:rFonts w:hint="eastAsia"/>
          <w:u w:val="none"/>
          <w:lang w:val="en-US" w:eastAsia="zh-CN"/>
        </w:rPr>
        <w:t>，</w:t>
      </w:r>
      <w:r>
        <w:rPr>
          <w:rFonts w:hint="default"/>
          <w:u w:val="none"/>
          <w:lang w:val="en-US" w:eastAsia="zh-CN"/>
        </w:rPr>
        <w:t>那就是只能在9点05到11点25分交易</w:t>
      </w:r>
      <w:r>
        <w:rPr>
          <w:rFonts w:hint="eastAsia"/>
          <w:u w:val="none"/>
          <w:lang w:val="en-US" w:eastAsia="zh-CN"/>
        </w:rPr>
        <w:t>，</w:t>
      </w:r>
      <w:r>
        <w:rPr>
          <w:rFonts w:hint="default"/>
          <w:u w:val="none"/>
          <w:lang w:val="en-US" w:eastAsia="zh-CN"/>
        </w:rPr>
        <w:t>那就是判断一下k线的时间 time&gt;=0.0905 and time&lt;=0.1125</w:t>
      </w:r>
    </w:p>
    <w:p w14:paraId="661D402B">
      <w:pPr>
        <w:numPr>
          <w:ilvl w:val="0"/>
          <w:numId w:val="0"/>
        </w:numPr>
        <w:rPr>
          <w:rFonts w:hint="default"/>
          <w:lang w:val="en-US" w:eastAsia="zh-CN"/>
        </w:rPr>
      </w:pPr>
    </w:p>
    <w:p w14:paraId="17448514">
      <w:pPr>
        <w:numPr>
          <w:ilvl w:val="0"/>
          <w:numId w:val="1"/>
        </w:numPr>
        <w:rPr>
          <w:rFonts w:hint="default"/>
          <w:b/>
          <w:bCs/>
          <w:lang w:val="en-US" w:eastAsia="zh-CN"/>
        </w:rPr>
      </w:pPr>
      <w:r>
        <w:rPr>
          <w:rFonts w:hint="eastAsia"/>
          <w:b/>
          <w:bCs/>
          <w:lang w:val="en-US" w:eastAsia="zh-CN"/>
        </w:rPr>
        <w:t>TB平台没有LWR指标，该如何计算出该指标？</w:t>
      </w:r>
    </w:p>
    <w:p w14:paraId="37471EB4">
      <w:pPr>
        <w:numPr>
          <w:ilvl w:val="0"/>
          <w:numId w:val="0"/>
        </w:numPr>
        <w:ind w:leftChars="0"/>
        <w:rPr>
          <w:rFonts w:hint="eastAsia"/>
          <w:color w:val="0000FF"/>
          <w:u w:val="none"/>
          <w:lang w:val="en-US" w:eastAsia="zh-CN"/>
        </w:rPr>
      </w:pPr>
      <w:r>
        <w:rPr>
          <w:rFonts w:hint="eastAsia"/>
          <w:color w:val="0000FF"/>
          <w:u w:val="none"/>
          <w:lang w:val="en-US" w:eastAsia="zh-CN"/>
        </w:rPr>
        <w:t>计算方式应以用户定义为准。</w:t>
      </w:r>
    </w:p>
    <w:p w14:paraId="29CDE655">
      <w:pPr>
        <w:numPr>
          <w:ilvl w:val="0"/>
          <w:numId w:val="0"/>
        </w:numPr>
        <w:rPr>
          <w:rFonts w:hint="default"/>
          <w:u w:val="none"/>
          <w:lang w:val="en-US" w:eastAsia="zh-CN"/>
        </w:rPr>
      </w:pPr>
    </w:p>
    <w:p w14:paraId="574BC776">
      <w:pPr>
        <w:numPr>
          <w:ilvl w:val="0"/>
          <w:numId w:val="1"/>
        </w:numPr>
        <w:tabs>
          <w:tab w:val="center" w:pos="4153"/>
        </w:tabs>
        <w:rPr>
          <w:rFonts w:hint="default"/>
          <w:b/>
          <w:bCs/>
          <w:lang w:val="en-US" w:eastAsia="zh-CN"/>
        </w:rPr>
      </w:pPr>
      <w:r>
        <w:rPr>
          <w:rFonts w:hint="eastAsia"/>
          <w:b/>
          <w:bCs/>
          <w:lang w:val="en-US" w:eastAsia="zh-CN"/>
        </w:rPr>
        <w:t>如何能够指定获取到某一周期（N分钟、N小时）的K线数据，</w:t>
      </w:r>
      <w:r>
        <w:rPr>
          <w:rFonts w:hint="eastAsia"/>
          <w:b/>
          <w:bCs/>
          <w:lang w:val="en-US" w:eastAsia="zh-CN"/>
        </w:rPr>
        <w:tab/>
      </w:r>
      <w:r>
        <w:rPr>
          <w:rFonts w:hint="eastAsia"/>
          <w:b/>
          <w:bCs/>
          <w:lang w:val="en-US" w:eastAsia="zh-CN"/>
        </w:rPr>
        <w:t>跨周期操作数据？</w:t>
      </w:r>
    </w:p>
    <w:p w14:paraId="49F6B046">
      <w:pPr>
        <w:numPr>
          <w:ilvl w:val="0"/>
          <w:numId w:val="2"/>
        </w:numPr>
        <w:tabs>
          <w:tab w:val="center" w:pos="4153"/>
        </w:tabs>
        <w:rPr>
          <w:rFonts w:hint="eastAsia"/>
          <w:u w:val="none"/>
          <w:lang w:val="en-US" w:eastAsia="zh-CN"/>
        </w:rPr>
      </w:pPr>
      <w:r>
        <w:rPr>
          <w:rFonts w:hint="eastAsia"/>
          <w:u w:val="none"/>
          <w:lang w:val="en-US" w:eastAsia="zh-CN"/>
        </w:rPr>
        <w:t>使用SubScribeBar函数，指定订阅周期，也可以通过flag行情参数来制定时间分割方式。</w:t>
      </w:r>
    </w:p>
    <w:p w14:paraId="61C16213">
      <w:pPr>
        <w:numPr>
          <w:numId w:val="0"/>
        </w:numPr>
        <w:tabs>
          <w:tab w:val="center" w:pos="4153"/>
        </w:tabs>
        <w:rPr>
          <w:rFonts w:hint="default"/>
          <w:u w:val="none"/>
          <w:lang w:val="en-US" w:eastAsia="zh-CN"/>
        </w:rPr>
      </w:pPr>
      <w:r>
        <w:rPr>
          <w:rFonts w:hint="default"/>
          <w:u w:val="none"/>
          <w:lang w:val="en-US" w:eastAsia="zh-CN"/>
        </w:rPr>
        <w:drawing>
          <wp:inline distT="0" distB="0" distL="114300" distR="114300">
            <wp:extent cx="5271770" cy="2270760"/>
            <wp:effectExtent l="0" t="0" r="11430" b="2540"/>
            <wp:docPr id="3" name="图片 3" descr="1c9ac893b458cc9cb24556d8131c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c9ac893b458cc9cb24556d8131c7d3"/>
                    <pic:cNvPicPr>
                      <a:picLocks noChangeAspect="1"/>
                    </pic:cNvPicPr>
                  </pic:nvPicPr>
                  <pic:blipFill>
                    <a:blip r:embed="rId5"/>
                    <a:stretch>
                      <a:fillRect/>
                    </a:stretch>
                  </pic:blipFill>
                  <pic:spPr>
                    <a:xfrm>
                      <a:off x="0" y="0"/>
                      <a:ext cx="5271770" cy="2270760"/>
                    </a:xfrm>
                    <a:prstGeom prst="rect">
                      <a:avLst/>
                    </a:prstGeom>
                  </pic:spPr>
                </pic:pic>
              </a:graphicData>
            </a:graphic>
          </wp:inline>
        </w:drawing>
      </w:r>
    </w:p>
    <w:p w14:paraId="5ED53CD0">
      <w:pPr>
        <w:numPr>
          <w:numId w:val="0"/>
        </w:numPr>
        <w:tabs>
          <w:tab w:val="center" w:pos="4153"/>
        </w:tabs>
        <w:rPr>
          <w:rFonts w:hint="default"/>
          <w:u w:val="none"/>
          <w:lang w:val="en-US" w:eastAsia="zh-CN"/>
        </w:rPr>
      </w:pPr>
      <w:r>
        <w:rPr>
          <w:rFonts w:hint="default"/>
          <w:u w:val="none"/>
          <w:lang w:val="en-US" w:eastAsia="zh-CN"/>
        </w:rPr>
        <w:drawing>
          <wp:inline distT="0" distB="0" distL="114300" distR="114300">
            <wp:extent cx="5266690" cy="2787650"/>
            <wp:effectExtent l="0" t="0" r="3810" b="6350"/>
            <wp:docPr id="4" name="图片 4" descr="d20969f38ca915538c8a35ac40fb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20969f38ca915538c8a35ac40fb3f6"/>
                    <pic:cNvPicPr>
                      <a:picLocks noChangeAspect="1"/>
                    </pic:cNvPicPr>
                  </pic:nvPicPr>
                  <pic:blipFill>
                    <a:blip r:embed="rId6"/>
                    <a:stretch>
                      <a:fillRect/>
                    </a:stretch>
                  </pic:blipFill>
                  <pic:spPr>
                    <a:xfrm>
                      <a:off x="0" y="0"/>
                      <a:ext cx="5266690" cy="2787650"/>
                    </a:xfrm>
                    <a:prstGeom prst="rect">
                      <a:avLst/>
                    </a:prstGeom>
                  </pic:spPr>
                </pic:pic>
              </a:graphicData>
            </a:graphic>
          </wp:inline>
        </w:drawing>
      </w:r>
    </w:p>
    <w:p w14:paraId="72BC79AF">
      <w:pPr>
        <w:numPr>
          <w:ilvl w:val="0"/>
          <w:numId w:val="0"/>
        </w:numPr>
        <w:tabs>
          <w:tab w:val="center" w:pos="4153"/>
        </w:tabs>
        <w:rPr>
          <w:rFonts w:hint="default" w:eastAsiaTheme="minorEastAsia"/>
          <w:u w:val="none"/>
          <w:lang w:eastAsia="zh-CN"/>
        </w:rPr>
      </w:pPr>
      <w:r>
        <w:rPr>
          <w:rFonts w:hint="eastAsia"/>
          <w:u w:val="none"/>
          <w:lang w:val="en-US" w:eastAsia="zh-CN"/>
        </w:rPr>
        <w:t>2）K线窗口叠加图层，设定不同周期，使用data0、data1来指定读取不同周期的数据源。</w:t>
      </w:r>
    </w:p>
    <w:p w14:paraId="4DA43C48">
      <w:pPr>
        <w:numPr>
          <w:ilvl w:val="0"/>
          <w:numId w:val="0"/>
        </w:numPr>
        <w:tabs>
          <w:tab w:val="center" w:pos="4153"/>
        </w:tabs>
        <w:rPr>
          <w:rFonts w:hint="default"/>
          <w:lang w:val="en-US" w:eastAsia="zh-CN"/>
        </w:rPr>
      </w:pPr>
    </w:p>
    <w:p w14:paraId="05D64D8D">
      <w:pPr>
        <w:numPr>
          <w:ilvl w:val="0"/>
          <w:numId w:val="1"/>
        </w:numPr>
        <w:tabs>
          <w:tab w:val="center" w:pos="4153"/>
        </w:tabs>
        <w:rPr>
          <w:rFonts w:hint="default"/>
          <w:b/>
          <w:bCs/>
          <w:u w:val="single"/>
          <w:lang w:val="en-US" w:eastAsia="zh-CN"/>
        </w:rPr>
      </w:pPr>
      <w:r>
        <w:rPr>
          <w:rFonts w:hint="eastAsia"/>
          <w:b/>
          <w:bCs/>
          <w:lang w:val="en-US" w:eastAsia="zh-CN"/>
        </w:rPr>
        <w:t>像是MACD绿柱加长、缩短、绿转红、红转绿、红柱加长、缩短，DEA线、DIFF线这类</w:t>
      </w:r>
      <w:r>
        <w:rPr>
          <w:rFonts w:hint="eastAsia"/>
          <w:b/>
          <w:bCs/>
          <w:u w:val="none"/>
          <w:lang w:val="en-US" w:eastAsia="zh-CN"/>
        </w:rPr>
        <w:t>指标线走平、向上、向下（扭头向下）这类视觉主观的现象怎么通过代码体现？</w:t>
      </w:r>
    </w:p>
    <w:p w14:paraId="6E3A3E35">
      <w:pPr>
        <w:numPr>
          <w:ilvl w:val="0"/>
          <w:numId w:val="0"/>
        </w:numPr>
        <w:tabs>
          <w:tab w:val="center" w:pos="4153"/>
        </w:tabs>
        <w:ind w:leftChars="0"/>
        <w:rPr>
          <w:rFonts w:hint="eastAsia"/>
          <w:color w:val="0000FF"/>
          <w:u w:val="none"/>
          <w:lang w:val="en-US" w:eastAsia="zh-CN"/>
        </w:rPr>
      </w:pPr>
      <w:r>
        <w:rPr>
          <w:rFonts w:hint="default"/>
          <w:color w:val="0000FF"/>
          <w:u w:val="none"/>
          <w:lang w:val="en-US" w:eastAsia="zh-CN"/>
        </w:rPr>
        <w:t>任何一个描述都要能量化</w:t>
      </w:r>
      <w:r>
        <w:rPr>
          <w:rFonts w:hint="eastAsia"/>
          <w:color w:val="0000FF"/>
          <w:u w:val="none"/>
          <w:lang w:val="en-US" w:eastAsia="zh-CN"/>
        </w:rPr>
        <w:t>，应与策略制定者详细确认制定者如何定义的这些主观现象。</w:t>
      </w:r>
    </w:p>
    <w:p w14:paraId="07B8DB1F">
      <w:pPr>
        <w:numPr>
          <w:ilvl w:val="0"/>
          <w:numId w:val="0"/>
        </w:numPr>
        <w:tabs>
          <w:tab w:val="center" w:pos="4153"/>
        </w:tabs>
        <w:rPr>
          <w:rFonts w:hint="default"/>
          <w:lang w:val="en-US" w:eastAsia="zh-CN"/>
        </w:rPr>
      </w:pPr>
    </w:p>
    <w:p w14:paraId="204778DC">
      <w:pPr>
        <w:numPr>
          <w:ilvl w:val="0"/>
          <w:numId w:val="1"/>
        </w:numPr>
        <w:tabs>
          <w:tab w:val="center" w:pos="4153"/>
        </w:tabs>
        <w:rPr>
          <w:rFonts w:hint="default"/>
          <w:b/>
          <w:bCs/>
          <w:lang w:val="en-US" w:eastAsia="zh-CN"/>
        </w:rPr>
      </w:pPr>
      <w:r>
        <w:rPr>
          <w:rFonts w:hint="eastAsia"/>
          <w:b/>
          <w:bCs/>
          <w:lang w:val="en-US" w:eastAsia="zh-CN"/>
        </w:rPr>
        <w:t>要怎么判断RSI金叉和死叉？</w:t>
      </w:r>
    </w:p>
    <w:p w14:paraId="5B47393A">
      <w:pPr>
        <w:widowControl w:val="0"/>
        <w:numPr>
          <w:ilvl w:val="0"/>
          <w:numId w:val="0"/>
        </w:numPr>
        <w:tabs>
          <w:tab w:val="center" w:pos="4153"/>
        </w:tabs>
        <w:ind w:leftChars="0"/>
        <w:jc w:val="both"/>
        <w:rPr>
          <w:rFonts w:hint="default"/>
          <w:color w:val="0000FF"/>
          <w:u w:val="none"/>
          <w:lang w:val="en-US" w:eastAsia="zh-CN"/>
        </w:rPr>
      </w:pPr>
      <w:r>
        <w:rPr>
          <w:rFonts w:hint="eastAsia"/>
          <w:color w:val="0000FF"/>
          <w:u w:val="none"/>
          <w:lang w:val="en-US" w:eastAsia="zh-CN"/>
        </w:rPr>
        <w:t>RSI只有一根线，另外两条是参考值，RSI金死叉没有权威定义，比如RSI从下往上上穿超买70叫金叉超买，RSI从下往上上穿超卖30 这也叫金叉，具体还是得与确定用户如何定义的RSI金死叉。</w:t>
      </w:r>
    </w:p>
    <w:p w14:paraId="7A5CFA09">
      <w:pPr>
        <w:widowControl w:val="0"/>
        <w:numPr>
          <w:ilvl w:val="0"/>
          <w:numId w:val="0"/>
        </w:numPr>
        <w:tabs>
          <w:tab w:val="center" w:pos="4153"/>
        </w:tabs>
        <w:jc w:val="both"/>
        <w:rPr>
          <w:rFonts w:hint="default"/>
          <w:lang w:val="en-US" w:eastAsia="zh-CN"/>
        </w:rPr>
      </w:pPr>
    </w:p>
    <w:p w14:paraId="4DF02CE4">
      <w:pPr>
        <w:numPr>
          <w:ilvl w:val="0"/>
          <w:numId w:val="1"/>
        </w:numPr>
        <w:tabs>
          <w:tab w:val="center" w:pos="4153"/>
        </w:tabs>
        <w:rPr>
          <w:rFonts w:hint="default"/>
          <w:b/>
          <w:bCs/>
          <w:lang w:val="en-US" w:eastAsia="zh-CN"/>
        </w:rPr>
      </w:pPr>
      <w:r>
        <w:rPr>
          <w:rFonts w:hint="eastAsia"/>
          <w:b/>
          <w:bCs/>
          <w:lang w:val="en-US" w:eastAsia="zh-CN"/>
        </w:rPr>
        <w:t>DIF线与MACDDIFF线有什么区别？</w:t>
      </w:r>
    </w:p>
    <w:p w14:paraId="0EBE4801">
      <w:pPr>
        <w:widowControl w:val="0"/>
        <w:numPr>
          <w:ilvl w:val="0"/>
          <w:numId w:val="0"/>
        </w:numPr>
        <w:tabs>
          <w:tab w:val="center" w:pos="4153"/>
        </w:tabs>
        <w:ind w:leftChars="0"/>
        <w:jc w:val="both"/>
        <w:rPr>
          <w:rFonts w:hint="default"/>
          <w:color w:val="0000FF"/>
          <w:lang w:val="en-US" w:eastAsia="zh-CN"/>
        </w:rPr>
      </w:pPr>
      <w:r>
        <w:rPr>
          <w:rFonts w:hint="eastAsia"/>
          <w:color w:val="0000FF"/>
          <w:lang w:val="en-US" w:eastAsia="zh-CN"/>
        </w:rPr>
        <w:t>TB的MACD指标算法可能与其他平台的不一致，如果用户认同TB的MACD指标，那可以直接使用TB的算法。</w:t>
      </w:r>
    </w:p>
    <w:p w14:paraId="798D410C">
      <w:pPr>
        <w:widowControl w:val="0"/>
        <w:numPr>
          <w:ilvl w:val="0"/>
          <w:numId w:val="0"/>
        </w:numPr>
        <w:tabs>
          <w:tab w:val="center" w:pos="4153"/>
        </w:tabs>
        <w:jc w:val="both"/>
        <w:rPr>
          <w:rFonts w:hint="default"/>
          <w:lang w:val="en-US" w:eastAsia="zh-CN"/>
        </w:rPr>
      </w:pPr>
    </w:p>
    <w:p w14:paraId="037EE051">
      <w:pPr>
        <w:numPr>
          <w:ilvl w:val="0"/>
          <w:numId w:val="1"/>
        </w:numPr>
        <w:tabs>
          <w:tab w:val="center" w:pos="4153"/>
          <w:tab w:val="right" w:pos="8306"/>
        </w:tabs>
        <w:rPr>
          <w:rFonts w:hint="default"/>
          <w:b/>
          <w:bCs/>
          <w:lang w:val="en-US" w:eastAsia="zh-CN"/>
        </w:rPr>
      </w:pPr>
      <w:r>
        <w:rPr>
          <w:rFonts w:hint="eastAsia"/>
          <w:b/>
          <w:bCs/>
          <w:lang w:val="en-US" w:eastAsia="zh-CN"/>
        </w:rPr>
        <w:t>仓位管理，比如一个策略下有20个品种，如何限定每个品种的占总资金的仓位上限？比如某个策略项下单个品种仓位不能超过总资金的4%。</w:t>
      </w:r>
    </w:p>
    <w:p w14:paraId="038065F8">
      <w:pPr>
        <w:numPr>
          <w:ilvl w:val="0"/>
          <w:numId w:val="0"/>
        </w:numPr>
        <w:tabs>
          <w:tab w:val="center" w:pos="4153"/>
          <w:tab w:val="right" w:pos="8306"/>
        </w:tabs>
        <w:rPr>
          <w:rFonts w:hint="default"/>
          <w:b w:val="0"/>
          <w:bCs w:val="0"/>
          <w:u w:val="none"/>
          <w:lang w:val="en-US" w:eastAsia="zh-CN"/>
        </w:rPr>
      </w:pPr>
      <w:r>
        <w:rPr>
          <w:rFonts w:hint="eastAsia"/>
          <w:b/>
          <w:bCs/>
          <w:sz w:val="24"/>
          <w:szCs w:val="24"/>
          <w:u w:val="none"/>
          <w:lang w:val="en-US" w:eastAsia="zh-CN"/>
        </w:rPr>
        <w:t>1）如果将所有交易品种放在同一个策略单元下进行管理</w:t>
      </w:r>
      <w:r>
        <w:rPr>
          <w:rFonts w:hint="eastAsia"/>
          <w:b w:val="0"/>
          <w:bCs w:val="0"/>
          <w:u w:val="none"/>
          <w:lang w:val="en-US" w:eastAsia="zh-CN"/>
        </w:rPr>
        <w:t>，还会涉及到不同的数据源，因为在程序化策略交易中，涉及不同数据源如果不指定操作的是哪个数据源，就默认操作的是第一个数据源。比如现写好了一个策略文件A，在A文件中</w:t>
      </w:r>
      <w:r>
        <w:rPr>
          <w:rFonts w:hint="eastAsia"/>
          <w:b w:val="0"/>
          <w:bCs w:val="0"/>
          <w:highlight w:val="none"/>
          <w:u w:val="none"/>
          <w:lang w:val="en-US" w:eastAsia="zh-CN"/>
        </w:rPr>
        <w:t>每个函数每个数据的使用都没有指定引用的操作源</w:t>
      </w:r>
      <w:r>
        <w:rPr>
          <w:rFonts w:hint="eastAsia"/>
          <w:b w:val="0"/>
          <w:bCs w:val="0"/>
          <w:u w:val="none"/>
          <w:lang w:val="en-US" w:eastAsia="zh-CN"/>
        </w:rPr>
        <w:t>，创建了一个策略单元并往里面加了20个交易品种，都执行同一个策略A，启动自动交易，可能出现的情况是只有第一个交易品种在报单，其他19个交易品种没有任何反馈(情形见图1)。针对这种管理方式，可能的方式是获得本策略单元中总的交易品种个数，使用Range循环来对所有叠加品种依次去进行条件判断和执行多空报单，就不用前置data0、data1来制定操作源。这种管理方</w:t>
      </w:r>
      <w:r>
        <w:rPr>
          <w:rFonts w:hint="eastAsia"/>
          <w:b w:val="0"/>
          <w:bCs w:val="0"/>
          <w:highlight w:val="none"/>
          <w:u w:val="none"/>
          <w:lang w:val="en-US" w:eastAsia="zh-CN"/>
        </w:rPr>
        <w:t>式缺点是费算力，优点是</w:t>
      </w:r>
      <w:r>
        <w:rPr>
          <w:rFonts w:hint="eastAsia"/>
          <w:b w:val="0"/>
          <w:bCs w:val="0"/>
          <w:u w:val="none"/>
          <w:lang w:val="en-US" w:eastAsia="zh-CN"/>
        </w:rPr>
        <w:t>对于“</w:t>
      </w:r>
      <w:r>
        <w:rPr>
          <w:rFonts w:hint="eastAsia"/>
          <w:b/>
          <w:bCs/>
          <w:lang w:val="en-US" w:eastAsia="zh-CN"/>
        </w:rPr>
        <w:t>限定每个品种的占总资金的仓位上限（不超过总资金4%）</w:t>
      </w:r>
      <w:r>
        <w:rPr>
          <w:rFonts w:hint="eastAsia"/>
          <w:b w:val="0"/>
          <w:bCs w:val="0"/>
          <w:u w:val="none"/>
          <w:lang w:val="en-US" w:eastAsia="zh-CN"/>
        </w:rPr>
        <w:t>”这个需求比较方便实现——因为方便计算，所有的交易品种都在一个单元下，可以统一使用该策略单元的初始资金去乘以4%做限制。</w:t>
      </w:r>
    </w:p>
    <w:p w14:paraId="54341313">
      <w:pPr>
        <w:numPr>
          <w:ilvl w:val="0"/>
          <w:numId w:val="0"/>
        </w:numPr>
        <w:tabs>
          <w:tab w:val="center" w:pos="4153"/>
          <w:tab w:val="right" w:pos="8306"/>
        </w:tabs>
        <w:rPr>
          <w:rFonts w:hint="eastAsia"/>
          <w:b w:val="0"/>
          <w:bCs w:val="0"/>
          <w:u w:val="none"/>
          <w:lang w:val="en-US" w:eastAsia="zh-CN"/>
        </w:rPr>
      </w:pPr>
    </w:p>
    <w:p w14:paraId="7C0DB3AC">
      <w:pPr>
        <w:numPr>
          <w:ilvl w:val="0"/>
          <w:numId w:val="0"/>
        </w:numPr>
        <w:tabs>
          <w:tab w:val="center" w:pos="4153"/>
          <w:tab w:val="right" w:pos="8306"/>
        </w:tabs>
      </w:pPr>
      <w:r>
        <w:drawing>
          <wp:inline distT="0" distB="0" distL="114300" distR="114300">
            <wp:extent cx="5270500" cy="478155"/>
            <wp:effectExtent l="0" t="0" r="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0500" cy="478155"/>
                    </a:xfrm>
                    <a:prstGeom prst="rect">
                      <a:avLst/>
                    </a:prstGeom>
                    <a:noFill/>
                    <a:ln>
                      <a:noFill/>
                    </a:ln>
                  </pic:spPr>
                </pic:pic>
              </a:graphicData>
            </a:graphic>
          </wp:inline>
        </w:drawing>
      </w:r>
    </w:p>
    <w:p w14:paraId="4A6C786B">
      <w:pPr>
        <w:numPr>
          <w:ilvl w:val="0"/>
          <w:numId w:val="0"/>
        </w:numPr>
        <w:tabs>
          <w:tab w:val="center" w:pos="4153"/>
          <w:tab w:val="right" w:pos="8306"/>
        </w:tabs>
        <w:jc w:val="center"/>
        <w:rPr>
          <w:rFonts w:hint="default" w:eastAsiaTheme="minorEastAsia"/>
          <w:lang w:val="en-US" w:eastAsia="zh-CN"/>
        </w:rPr>
      </w:pPr>
      <w:r>
        <w:rPr>
          <w:rFonts w:hint="eastAsia"/>
          <w:lang w:val="en-US" w:eastAsia="zh-CN"/>
        </w:rPr>
        <w:t>图1</w:t>
      </w:r>
    </w:p>
    <w:p w14:paraId="2344501B">
      <w:pPr>
        <w:widowControl w:val="0"/>
        <w:numPr>
          <w:ilvl w:val="0"/>
          <w:numId w:val="0"/>
        </w:numPr>
        <w:tabs>
          <w:tab w:val="center" w:pos="4153"/>
          <w:tab w:val="right" w:pos="8306"/>
        </w:tabs>
        <w:jc w:val="both"/>
        <w:rPr>
          <w:rFonts w:hint="default"/>
          <w:lang w:val="en-US" w:eastAsia="zh-CN"/>
        </w:rPr>
      </w:pPr>
    </w:p>
    <w:p w14:paraId="284D9A41">
      <w:pPr>
        <w:numPr>
          <w:ilvl w:val="0"/>
          <w:numId w:val="3"/>
        </w:numPr>
        <w:tabs>
          <w:tab w:val="center" w:pos="4153"/>
          <w:tab w:val="right" w:pos="8306"/>
        </w:tabs>
        <w:rPr>
          <w:rFonts w:hint="eastAsia"/>
          <w:b w:val="0"/>
          <w:bCs w:val="0"/>
          <w:u w:val="none"/>
          <w:lang w:val="en-US" w:eastAsia="zh-CN"/>
        </w:rPr>
      </w:pPr>
      <w:r>
        <w:rPr>
          <w:rFonts w:hint="eastAsia"/>
          <w:b/>
          <w:bCs/>
          <w:sz w:val="24"/>
          <w:szCs w:val="24"/>
          <w:u w:val="none"/>
          <w:lang w:val="en-US" w:eastAsia="zh-CN"/>
        </w:rPr>
        <w:t>如果保证一个策略单元只对应一个交易品种，</w:t>
      </w:r>
      <w:r>
        <w:rPr>
          <w:rFonts w:hint="eastAsia"/>
          <w:b w:val="0"/>
          <w:bCs w:val="0"/>
          <w:u w:val="none"/>
          <w:lang w:val="en-US" w:eastAsia="zh-CN"/>
        </w:rPr>
        <w:t>每个策略单元都有自己的初始资金，假设现写好有策略A（多空交易策略都写在同一个文件），每个策略单元都跑自己的策略A，算自己的帐，不相互干涉，那么对于“</w:t>
      </w:r>
      <w:r>
        <w:rPr>
          <w:rFonts w:hint="eastAsia"/>
          <w:b/>
          <w:bCs/>
          <w:lang w:val="en-US" w:eastAsia="zh-CN"/>
        </w:rPr>
        <w:t>限定每个品种的占总资金的仓位上限（不超过总资金4%）</w:t>
      </w:r>
      <w:r>
        <w:rPr>
          <w:rFonts w:hint="eastAsia"/>
          <w:b w:val="0"/>
          <w:bCs w:val="0"/>
          <w:u w:val="none"/>
          <w:lang w:val="en-US" w:eastAsia="zh-CN"/>
        </w:rPr>
        <w:t>”，总资金是算所有策略单元的总帐，每个策略单元随着多空交易的进行单元资金会变动，总账也会变动，总账的计算就需要</w:t>
      </w:r>
      <w:r>
        <w:rPr>
          <w:rFonts w:hint="eastAsia"/>
          <w:b w:val="0"/>
          <w:bCs w:val="0"/>
          <w:u w:val="single"/>
          <w:lang w:val="en-US" w:eastAsia="zh-CN"/>
        </w:rPr>
        <w:t>跨单元通信</w:t>
      </w:r>
      <w:r>
        <w:rPr>
          <w:rFonts w:hint="eastAsia"/>
          <w:b w:val="0"/>
          <w:bCs w:val="0"/>
          <w:u w:val="none"/>
          <w:lang w:val="en-US" w:eastAsia="zh-CN"/>
        </w:rPr>
        <w:t>，通过自定义一个基础变量来记录值，在策略中可以在每日收盘或者指定某个时间拉取基础变量累加记录本单元的收益，再更新（写入）基础变量。</w:t>
      </w:r>
    </w:p>
    <w:p w14:paraId="60E0402D">
      <w:pPr>
        <w:numPr>
          <w:ilvl w:val="0"/>
          <w:numId w:val="0"/>
        </w:numPr>
        <w:tabs>
          <w:tab w:val="center" w:pos="4153"/>
          <w:tab w:val="right" w:pos="8306"/>
        </w:tabs>
        <w:rPr>
          <w:rFonts w:hint="default"/>
          <w:b/>
          <w:bCs/>
          <w:lang w:val="en-US" w:eastAsia="zh-CN"/>
        </w:rPr>
      </w:pPr>
    </w:p>
    <w:p w14:paraId="04772A6D">
      <w:pPr>
        <w:numPr>
          <w:ilvl w:val="0"/>
          <w:numId w:val="0"/>
        </w:numPr>
        <w:tabs>
          <w:tab w:val="center" w:pos="4153"/>
          <w:tab w:val="right" w:pos="8306"/>
        </w:tabs>
        <w:rPr>
          <w:rFonts w:hint="default"/>
          <w:lang w:val="en-US" w:eastAsia="zh-CN"/>
        </w:rPr>
      </w:pPr>
    </w:p>
    <w:p w14:paraId="0B5F8A6F">
      <w:pPr>
        <w:numPr>
          <w:ilvl w:val="0"/>
          <w:numId w:val="1"/>
        </w:numPr>
        <w:tabs>
          <w:tab w:val="center" w:pos="4153"/>
          <w:tab w:val="right" w:pos="8306"/>
        </w:tabs>
        <w:rPr>
          <w:rFonts w:hint="default"/>
          <w:b/>
          <w:bCs/>
          <w:lang w:val="en-US" w:eastAsia="zh-CN"/>
        </w:rPr>
      </w:pPr>
      <w:r>
        <w:rPr>
          <w:rFonts w:hint="eastAsia"/>
          <w:b/>
          <w:bCs/>
          <w:lang w:val="en-US" w:eastAsia="zh-CN"/>
        </w:rPr>
        <w:t>如果通过策略交易实现程序化交易，调整参数后如何将策略生成的未成交订单全部撤单？</w:t>
      </w:r>
    </w:p>
    <w:p w14:paraId="1A4AD29B">
      <w:pPr>
        <w:numPr>
          <w:ilvl w:val="0"/>
          <w:numId w:val="0"/>
        </w:numPr>
        <w:tabs>
          <w:tab w:val="center" w:pos="4153"/>
          <w:tab w:val="right" w:pos="8306"/>
        </w:tabs>
        <w:rPr>
          <w:rFonts w:hint="eastAsia"/>
          <w:b w:val="0"/>
          <w:bCs w:val="0"/>
          <w:lang w:val="en-US" w:eastAsia="zh-CN"/>
        </w:rPr>
      </w:pPr>
      <w:r>
        <w:rPr>
          <w:rFonts w:hint="eastAsia"/>
          <w:b w:val="0"/>
          <w:bCs w:val="0"/>
          <w:lang w:val="en-US" w:eastAsia="zh-CN"/>
        </w:rPr>
        <w:t>使用A_类型的函数可以对委托单数据进行跟踪管理，如果是一个策略单元只对应一个交易品种，可以通过</w:t>
      </w:r>
      <w:r>
        <w:rPr>
          <w:rFonts w:hint="default"/>
          <w:b w:val="0"/>
          <w:bCs w:val="0"/>
          <w:lang w:val="en-US" w:eastAsia="zh-CN"/>
        </w:rPr>
        <w:t>”A_GetUnFillOrderIDs-获取未完成的报单数组</w:t>
      </w:r>
      <w:r>
        <w:rPr>
          <w:rFonts w:hint="eastAsia"/>
          <w:b w:val="0"/>
          <w:bCs w:val="0"/>
          <w:lang w:val="en-US" w:eastAsia="zh-CN"/>
        </w:rPr>
        <w:t>orderIds</w:t>
      </w:r>
      <w:r>
        <w:rPr>
          <w:rFonts w:hint="default"/>
          <w:b w:val="0"/>
          <w:bCs w:val="0"/>
          <w:lang w:val="en-US" w:eastAsia="zh-CN"/>
        </w:rPr>
        <w:t>”</w:t>
      </w:r>
      <w:r>
        <w:rPr>
          <w:rFonts w:hint="eastAsia"/>
          <w:b w:val="0"/>
          <w:bCs w:val="0"/>
          <w:lang w:val="en-US" w:eastAsia="zh-CN"/>
        </w:rPr>
        <w:t>再通过for循环执行A_DeleteOrder(orderIds[i], 0)函数来完成该需求，将改交易品种未成交的报单全部撤掉。</w:t>
      </w:r>
    </w:p>
    <w:p w14:paraId="4489BF04">
      <w:pPr>
        <w:numPr>
          <w:ilvl w:val="0"/>
          <w:numId w:val="0"/>
        </w:numPr>
        <w:tabs>
          <w:tab w:val="center" w:pos="4153"/>
          <w:tab w:val="right" w:pos="8306"/>
        </w:tabs>
        <w:rPr>
          <w:rFonts w:hint="default"/>
          <w:b w:val="0"/>
          <w:bCs w:val="0"/>
          <w:lang w:val="en-US" w:eastAsia="zh-CN"/>
        </w:rPr>
      </w:pPr>
      <w:r>
        <w:rPr>
          <w:rFonts w:hint="eastAsia"/>
          <w:b w:val="0"/>
          <w:bCs w:val="0"/>
          <w:lang w:val="en-US" w:eastAsia="zh-CN"/>
        </w:rPr>
        <w:t>如果一个策略单元管理所有交易品种，相当于存在多种操作源，也可以通过同样的方式，但是如果不指定操作源，将默认获取所有操作源（该策略单元下所有交易品种）的未报单数组，然后全部撤单。</w:t>
      </w:r>
    </w:p>
    <w:p w14:paraId="071E0AE9">
      <w:pPr>
        <w:numPr>
          <w:ilvl w:val="0"/>
          <w:numId w:val="0"/>
        </w:numPr>
        <w:tabs>
          <w:tab w:val="center" w:pos="4153"/>
          <w:tab w:val="right" w:pos="8306"/>
        </w:tabs>
        <w:rPr>
          <w:rFonts w:hint="default"/>
          <w:b w:val="0"/>
          <w:bCs w:val="0"/>
          <w:u w:val="single"/>
          <w:lang w:val="en-US" w:eastAsia="zh-CN"/>
        </w:rPr>
      </w:pPr>
      <w:bookmarkStart w:id="0" w:name="_GoBack"/>
      <w:bookmarkEnd w:id="0"/>
    </w:p>
    <w:p w14:paraId="1C19CECA">
      <w:pPr>
        <w:numPr>
          <w:ilvl w:val="0"/>
          <w:numId w:val="0"/>
        </w:numPr>
        <w:tabs>
          <w:tab w:val="center" w:pos="4153"/>
          <w:tab w:val="right" w:pos="8306"/>
        </w:tabs>
        <w:rPr>
          <w:rFonts w:hint="default"/>
          <w:b w:val="0"/>
          <w:bCs w:val="0"/>
          <w:u w:val="singl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9F466"/>
    <w:multiLevelType w:val="singleLevel"/>
    <w:tmpl w:val="A299F466"/>
    <w:lvl w:ilvl="0" w:tentative="0">
      <w:start w:val="1"/>
      <w:numFmt w:val="decimal"/>
      <w:suff w:val="nothing"/>
      <w:lvlText w:val="%1、"/>
      <w:lvlJc w:val="left"/>
    </w:lvl>
  </w:abstractNum>
  <w:abstractNum w:abstractNumId="1">
    <w:nsid w:val="E090AB35"/>
    <w:multiLevelType w:val="singleLevel"/>
    <w:tmpl w:val="E090AB35"/>
    <w:lvl w:ilvl="0" w:tentative="0">
      <w:start w:val="2"/>
      <w:numFmt w:val="decimal"/>
      <w:suff w:val="nothing"/>
      <w:lvlText w:val="%1）"/>
      <w:lvlJc w:val="left"/>
    </w:lvl>
  </w:abstractNum>
  <w:abstractNum w:abstractNumId="2">
    <w:nsid w:val="0E9EBECC"/>
    <w:multiLevelType w:val="singleLevel"/>
    <w:tmpl w:val="0E9EBECC"/>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0Mjc1ZTVhMTk0ZWY4N2I5NTE2OWZhNjlmYmY5NjEifQ=="/>
  </w:docVars>
  <w:rsids>
    <w:rsidRoot w:val="6CBC05C4"/>
    <w:rsid w:val="06E22790"/>
    <w:rsid w:val="09C1615C"/>
    <w:rsid w:val="14BE346A"/>
    <w:rsid w:val="17E51F24"/>
    <w:rsid w:val="1E863577"/>
    <w:rsid w:val="20803CC9"/>
    <w:rsid w:val="2506398D"/>
    <w:rsid w:val="2D956FB8"/>
    <w:rsid w:val="3A0068DC"/>
    <w:rsid w:val="4E005F07"/>
    <w:rsid w:val="5BE014E5"/>
    <w:rsid w:val="5C3F26AF"/>
    <w:rsid w:val="5E60690D"/>
    <w:rsid w:val="64937D38"/>
    <w:rsid w:val="66AA497C"/>
    <w:rsid w:val="6CBC05C4"/>
    <w:rsid w:val="78FA2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1476</Words>
  <Characters>1645</Characters>
  <Lines>0</Lines>
  <Paragraphs>0</Paragraphs>
  <TotalTime>92</TotalTime>
  <ScaleCrop>false</ScaleCrop>
  <LinksUpToDate>false</LinksUpToDate>
  <CharactersWithSpaces>1651</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2024-07-23T00:48:00Z</dcterms:created>
  <dc:creator>磬</dc:creator>
  <cp:lastModifiedBy>磬</cp:lastModifiedBy>
  <dcterms:modified xsi:type="dcterms:W3CDTF">2024-07-26T02:24:00Z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55395DEAA5AE48838E0746F1701672E4_13</vt:lpwstr>
  </property>
</Properties>
</file>