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C6E"/>
          <w:sz w:val="56"/>
          <w:szCs w:val="56"/>
        </w:rPr>
        <w:t xml:space="preserve">资产配置方案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—— 中国居民综合理财规划 ——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适用人群：40岁左右 / 科技行业从业者 / 平衡型风险偏好 / 拥有一定可流动资产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免责声明：本文件仅为分析框架，不构成个人投资建议。请根据自身情况咨询持牌理财师。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核心原则：个人财富与企业风险脱钩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科技行业从业者而言，最大的单一风险是集中度——收入、职业身份和股权均绑定在同一家公司。因此，个人投资组合必须充分分散，避免与自身企业产生过高相关性。建议降低科技/成长股配置比例，将更多权重给予传统价值、红利和非股权类资产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资产配置总览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626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配置类别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建议比例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主要工具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第一层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安全垫层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10–15%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货币基金、银行理财(R1–R2)、大额存单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第二层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稳健收益 / 债券核心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20–25%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中短债基金、纯债基金、可转债基金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第三层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股票核心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35–40%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沿淳300ETF、红利股、优质价值成长股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第四层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另类 / 对冲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10–15%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黄金ETF、港股通、QDII基金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第五层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机会 / 卫星仓位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5–10%</w:t>
            </w:r>
          </w:p>
        </w:tc>
        <w:tc>
          <w:tcPr>
            <w:tcW w:type="dxa" w:w="3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行业ETF、打新、主题投资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第一层：安全垫层（10–15%）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目的：应急储备 + 机会资金。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建议保甙6–12个月生活开支的现金储备，同时预留一部分“干火药”以便在市场大幅下跌时迅速加仓。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工具选择：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货币基金、银行理财产品（R1–R2等级）、大额存单。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预期收益：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 2–2.5%，流动性 T+0 或 T+1。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第二层：稳健收益 / 债券核心（20–25%）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目的：抵抗股市波动，实现稳定复利增长。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以中短期债券基金和纯债基金为主，可适当配置可转债基金以获取不对称的上行收益。参考产品包括招商产业债、易方达增强回报等。避开小型发行人的信用债。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预期收益：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周期年化 3–5%。每年再平衡一次。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第三层：股票核心（35–40%）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目的：长期资本增值，组合的主要增长引擎。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建议分三个子类配置：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A. 宽基指数（股票仓位的50%）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被动跟踪沿淳300指数，作为市圻beta核心。低成本、税效优化，是A股长期投资的最佳载体。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首选：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华泰柏瑞沿淳300ETF (510300)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定投替代：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联接基金A类 (460300)，适合银行渠道定投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可补充中证500或中证1000指数获取中小盘分散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B. 高红利 / 价值锚定（股票仓位的30%）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提供股息现金流（3–6%股息率），波动较低，在市场下跌时起到心理锚定作用。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个股示例：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长江电力、中国神华、工商银行、招商银行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分散替代：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红利ETF (510880)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C. 优质成长（股票仓位的20%）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精选具有深厚护城河的优质企业，单只个股仓位控制在总资产的3–5%。如果您本身在科技行业，建议低配科技/成长股以避免与职业风险重叠。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参考标的：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贵州茅台、福耀玻璃、美的集团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第四层：另类 / 对冲配置（10–15%）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目的：不相关收益来源、通胀对冲、尾部风险保护。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A. 黄金（总资产的5–8%）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作为人民币贬值、地缘政治风险和股市下跌的对冲工具。当前宏观背景下（去美元化趋势、央行增持），结构性配置黄金具有较强合理性。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首选：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华安黄金ETF (518880) 或银行实物金渠道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B. 港股 / 离岸分散（总资产的5–7%）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通过港股通实现地域和币种分散，获取部分美元/港元敲口，而无需离开内地监管框架。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恒生科技指数ETF、QDII基金（如易方达中概互聐50ETF、标普500 QDII基金）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 QDII 额度限制和赎回延迟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第五层：机会 / 卫星仓位（5–10%）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目的：战术性机会、新兴主题、学习成长。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这是您的“实验场”——行业ETF、打新配售、可转债或主题化投资（AI、机器人、新能源）。严格控制仓位规模，确保即使失败也不影响核心财富。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如有天使/风投机会，也纳入该层级——但要警惕科技集中度风险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超越投资：结构性财富规划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一、保险配置（当前阶段必备）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对于科技行业从业者，保险是不可协商的底线：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定期寿险：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充足保额，20–25年期。保护家庭免受意外冲击。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重疾险：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充足保额。医疗费用对财富的破坏力远超市场波动。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高端医疗险：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年付型，覆盖私立医院。时间和健康是最大资产。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警示：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避开分红险/万能险等储蓄型保险作为投资工具——收益低、流动性差。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二、税务策划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个税专项附加扣除：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充分利用子女教育、赡养老人、住房贷款利息、继续教育等扣除项。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股权激励：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如公司有股权激励计划，精心规划行权/解锁时间以优化税负。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A股股息税优惠：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持股1年以上股息免税——倾向长期持有。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三、遗产与传承规划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遗嘱：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拥有较高资产和企业股权，无遗嘱继承将带来不必要的复杂性。建议尽早拟定。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婚姻财产：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如已婚，明确婚前财产与婚后财产的界限，特别是公司股权部分。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家族信托：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资产达到一定规模后可考虑设立，实现资产保护、传承规划和债务隔离。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四、子女教育基金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如有或计划有子女，建议尽早单独划拨教育基金。15–18年的时间跨度允许该子组合采用较激进的股票配置。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尽早划拨一部分资金，假设年化回报8%，15–18年复利增长可观。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实施策略：分步建仓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切勿一次性全部投入，建议分步执行：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立即部署：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第一层和第二层（低风险，无需择时）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6–12个月定投：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第三层股票部分，每两周或每月固定金额投入，消除“买在顶部”的焦虑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3–6个月建仓：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第四层黄金部分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保持干火药：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第五层资金等待具体机会出现后再部署</w:t>
      </w:r>
    </w:p>
    <w:p>
      <w:pPr>
        <w:spacing w:after="60" w:before="60"/>
      </w:pP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年度再平衡：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每年审视一次，卖出超出目标比例的资产，买入低于目标比例的资产。这一机制强制您“高卖低买”。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投资红线：不要做的事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不要追银行客户经理推销的“爆款”产品——他们的激励与您的利益不一致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任何单只股票仓位不超过总资产的5%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不买流动性差的产品（私募股权、锁定期2年以上的信托计划），除非您对其有深刻理解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不加杠杆——如果已有企业股权，您已经隐含了杠杆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不要择时——长期在场胜过择时进出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生命周期提示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当前配置约 55–60% 风险资产（股票+另类）和 40–45% 稳健/防御性仓位，符合 40 岁平衡型风险偏好。随着年龄接近 50 岁，建议逐步将 5–10% 从第三层/第五层转移至第一层/第二层，降低整体风险水平。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6"/>
          <w:szCs w:val="36"/>
        </w:rPr>
        <w:t xml:space="preserve">操作手册：时间表与执行细则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本节将配置方案转化为可执行的日常操作流程，覆盖定期检视、再平衡规则、下跌应对和特殊事件处理。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一、定期检视时间表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1. 每周（10分钟，建议周日晚间）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查看各账户总体净值变化，不需要深入分析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确认本周是否有定投扣款成功执行（DCA阶段）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浏览宏观新闻标题，判断是否有重大事件需要关注（不做交易决策）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红线：周检视不做任何买卖操作，仅用于信息获取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2. 每月（30分钟，建议每月第一个周末）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记录各层级实际比例 vs. 目标比例，简单表格即可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检查货币基金收益率是否异常偏低，如是则考虑调换产品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确认债券基金是否有异常波动（单月跌幅&gt;1%即为异常）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审视单只个股仓位是否因涨跌突睃5%红线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如存在单只个股超过5%，在本月内分批减仓至目标比例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3. 每季度（1–2小时，季末最后一周）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全面审视五层配置比例，判断是否需要小幅再平衡（见下文触发规则）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检查各基金产品同类排名，连续两个季度同类后25%的基金应考虑替换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审视行业暴露：检查股票持仓是否在某一行业过度集中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审视第五层卫星仓位的每笔投资，重新评估投资逻辑是否仍然成立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记录本季度总回报和各层级回报，建立历史记录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4. 每年度（2–3小时，12月或次年1月初）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执行强制年度再平衡（见下文详细规则）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重新评估风险偏好：家庭、事业、健康状况是否有重大变化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检查保险保隝是否仍然充足，是否需要调整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审视税务情况：股息持有期是否满一年、是否有税优可利用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设定下一年度目标配置比例（随年龄增长微调）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审视遗嘱、家族信托、子女教育基金进展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二、再平衡规则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1. 年度强制再平衡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每年固定时间（建议12月最后一周或次年1月第一周），无论市场表现如何，必须将所有层级回归目标比例。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计算各层级实际比例与目标比例的偏差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卖出超配层级的资产，买入低配层级的资产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优先通过新增资金流入低配层级，减少卖出操作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单次再平衡的交易量不超过总资产的5%，避免过度交易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2. 触发式再平衡（季度检视时判断）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当任何层级的实际配置偏离目标超过5个百分点时，触发局部再平衡。例如：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股票核心目标 37.5%，实际超过 42.5% → 减仓回目标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股票核心目标 37.5%，实际低于 32.5% → 加仓回目标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小于5个百分点偏差可待年度强制再平衡时一并处理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3. 再平衡执行顺序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第一步：计算各层级实际市值和占比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第二步：确定目标市值（总资产 × 目标比例）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第三步：差额即为调整金额，正数卖出、负数买入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第四步：优先调整偏差最大的层级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第五步：分 2–3 天执行交易，避免单日集中冲击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三、下跌应对协议（回撤处理）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不同层级、不同跌幅的应对方式完全不同。核心原则：低风险层级异常时要警觉，高风险层级下跌时要克制恐惧。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第一层、第二层（安全垫层 + 债券）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债券基金单月跌幅 &gt;1%：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检查原因。如为利率政策冲击（央行加息），继续持有，债券会均值回归。可考虑缩短久期，换入更短期限的债基。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债券基金单月跌幅 &gt;3%：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可能信用事件或极端利率环境。审视基金持仓是否有信用违约风险，如有则立即转换为利率债基金或货币基金。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行动时间：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发现异常后 1–2 个工作日内决策。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第三层（股票核心）—— 最可能出现大幅波动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13"/>
        <w:gridCol w:w="2513"/>
      </w:tblGrid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跌幅区间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时间窗口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0–10%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正常波动，市场噪音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不做任何操作。DCA阶段继续执行定投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不适用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10–20%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明显调整，但仍属常见范围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检查各层级偏差，如触发5%偏差则执行触发式再平衡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季度检视时处理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20–30%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显著回撤，A股每3–5年会发生一次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动用第一层「干火药」储备加仓指数基金。分三批投入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发现后 1–2 周内启动第一批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&gt;30%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极端恐慌，历史性买入机会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将第五层现金也加仓至指数基金。“别人恐惧我贪婪”</w:t>
            </w:r>
          </w:p>
        </w:tc>
        <w:tc>
          <w:tcPr>
            <w:tcW w:type="dxa" w:w="2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 3–4 批，每批间隔 1–2 周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绝对禁止：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在大跌后恐慌性卖出。这会锁定亏损并错过反弹。沿淳300、长江电力等核心资产不会归零。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第四层（黄金 / 港股）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黄金单独下跌 15–20%：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正常波动。持有不动。黄金的价值在于与股票的低相关性，而非短期回报。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黄金与股票同时下跌：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可能是流动性危机（类似2020年初）。继续持有，黄金通常最先反弹。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黄金跌而股票涨：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正常的资产轮动，组合正在按设计运行。不需操作。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第五层（卫星仓位）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这一层级本身就预期会有部分亏损，这是设计中的代价。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单笔投资跌 40%+：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问自己一个问题：“投资逻辑是否已变？”如果还是→继续持有或小幅加仓。如果变了→果断止损。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单笔投资跌 70%+：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基本确认论点失败。止损或接受为“学费”，不要补仓摆平成本。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四、定投执行细则（DCA阶段）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适用于初始建仓的前 6–12 个月，以及后续每月新增资金的投入。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执行频率：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每两周或每月固定日期（如每月15日）。避开月初、月末的市场波动高峰期。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投入金额：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每期固定金额，不随市场涨跌调整。这是纪律性的核心。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投入顺序：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先指数基金（沿淳300）→ 再红利股/ETF → 最后个股。确保宽基优先。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达标后：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当股票层级达到目标比例后，DCA阶段结束，转入正常维护模式。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五、股息与分红处理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股票股息：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红利股产生的现金股息，累积至一定金额后在下次再平衡时统一部署到低配层级。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基金分红：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选择“红利再投资”模式，而非现金分红。复利效应长期差异巨大。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税务提示：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确保红利股持有期超过1年，股息免个人所得税。短期卖出会触发20%税率。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六、新增资金流入规则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工资、奖金、业务收入等新增资金进入组合时：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首先检查各层级实际比例 vs. 目标比例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将新增资金全部投入最低配的层级，直到平衡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如所有层级均接近目标，按目标比例分配新增资金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这是“无痛再平衡”的最佳方式——不需卖出任何持仓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七、特殊事件应对预案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1. 宏观政策突变（央行降息/加息、重大监管政策）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不做预判性交易，等待市场反应 2–3 天后再评估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降息周期：利好债券和股票，不需特别操作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加息周期：检查债券久期，可缩短至中短债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监管政策：如涉及自身持仓行业，在下一个季度检视时重点审视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2. 个股黑天鹅事件（财务造假、突发利空）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如果涉及您持有的个股，立即审视投资逻辑是否根本性受损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财务造假：立即清仓，不等反弹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短期利空（如产品召回、高管变动）：低于单只仓位天花板（3–5%）时可继续持有观察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行动窗口：48小时内完成判断和执行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3. 全球性危机（类似2020年新冠、地缘冲突）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第一周：不做任何操作，仅观察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第二周：评估各层级偏差，制定加仓计划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第三周起：分批动用干火药和第五层现金加仓指数基金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持续监控：危机期间将每周检视升级为每日浏览，但仍不要每日交易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7CB8"/>
          <w:sz w:val="24"/>
          <w:szCs w:val="24"/>
        </w:rPr>
        <w:t xml:space="preserve">4. 个人生活重大变化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结婚 / 离婚：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重新审视财产结构和保险受益人，30天内完成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生育子女：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启动子女教育基金，调整寿险保额，60天内完成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公司股权变动（融资、退出、IPO）：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重新评估个人财富与企业的相关性，可能需要大幅调整配置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健康问题：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立即审视保险覆盖，确保第一层流动性充足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八、年度大检清单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建议在每年12月或次年1月初完成以下所有项目：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300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检查项目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各层级实际比例 vs. 目标比例，执行强制再平衡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已完成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单只个股是否有超过5%的情况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已检查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基金产品同类排名审视，替换连续落后的基金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已审视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保险保障是否充足，受益人是否正确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已确认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税务优化：股息持有期、个税扣除项是否充分利用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已审视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第五层卫星仓位每笔投资逻辑重新评估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已审视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风险偏好是否需要调整（家庭、事业、健康变化）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已评估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下一年度目标配置比例是否需要微调（年龄因素）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已设定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遗嘱、家族信托、子女教育基金进展审视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已审视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记录本年度总回报、各层级回报、重大决策日志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 已记录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E8E"/>
          <w:sz w:val="28"/>
          <w:szCs w:val="28"/>
        </w:rPr>
        <w:t xml:space="preserve">九、心理纪律提示</w:t>
      </w:r>
    </w:p>
    <w:p>
      <w:pPr>
        <w:spacing w:after="80" w:before="8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投资中最大的敌人不是市场，而是自己的情绪。以下是常见心理陷阱和应对：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追涨杀跌：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所有买卖决策必须基于本文件的规则，而非当日市场情绪。如果您发现自己想要“这次不一样”而破例，那恰恰是最需要坚守规则的时候。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损失厌恶：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人对亏损的痛苦是同等盈利快乐的2倍。这会导致您在下跌时过早卖出、上涨时过早止盈。解药是机械化规则——即本文件。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锚定效应：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不要因为“还没回本”而拒绝卖出已变质的持仓。买入成本与未来价值无关。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从众心理：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“身边所有人都在买”恰恰是危险信号。坚守配置比例，不被市场情绪裹挟。</w:t>
      </w:r>
    </w:p>
    <w:p>
      <w:pPr>
        <w:spacing w:after="60" w:before="60"/>
      </w:pPr>
    </w:p>
    <w:p>
      <w:pPr>
        <w:pBdr>
          <w:top w:val="single" w:color="CCCCCC" w:sz="6" w:space="6"/>
        </w:pBdr>
        <w:spacing w:after="60" w:before="20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免责声明：本文件仅为财富配置分析框架，不构成投资建议或任何形式的保证。请务必根据个人实际情况咨询持牌理财顾问。过往业绩不代表未来表现。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资产配置方案  |  个人理财规划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E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2026-04-15T04:10:41.938Z</dcterms:created>
  <dcterms:modified xsi:type="dcterms:W3CDTF">2026-04-15T04:10:41.939Z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