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ESPECIFICACIÓN DE PRODUCTO — MVP</w:t>
      </w:r>
    </w:p>
    <w:p>
      <w:pPr>
        <w:spacing w:after="100"/>
      </w:pPr>
      <w:r>
        <w:rPr>
          <w:b/>
          <w:bCs/>
          <w:color w:val="1F5C4E"/>
          <w:sz w:val="40"/>
          <w:szCs w:val="40"/>
        </w:rPr>
        <w:t xml:space="preserve">App de gestión de ventas para vendedores informales y comercio de barrio</w:t>
      </w:r>
    </w:p>
    <w:p>
      <w:pPr>
        <w:spacing w:after="320"/>
      </w:pPr>
      <w:r>
        <w:rPr>
          <w:i/>
          <w:iCs/>
          <w:color w:val="666666"/>
          <w:sz w:val="20"/>
          <w:szCs w:val="20"/>
        </w:rPr>
        <w:t xml:space="preserve">Documento de planeación — versión 1 · Septiembre 2026</w:t>
      </w:r>
    </w:p>
    <w:p>
      <w:pPr>
        <w:pStyle w:val="Heading1"/>
        <w:pBdr>
          <w:bottom w:val="single" w:color="1F5C4E" w:sz="6" w:space="4"/>
        </w:pBdr>
        <w:spacing w:after="160" w:before="320"/>
      </w:pPr>
      <w:r>
        <w:rPr>
          <w:b/>
          <w:bCs/>
          <w:color w:val="1F5C4E"/>
          <w:sz w:val="28"/>
          <w:szCs w:val="28"/>
        </w:rPr>
        <w:t xml:space="preserve">1. Resumen ejecutivo</w:t>
      </w:r>
    </w:p>
    <w:p>
      <w:pPr>
        <w:spacing w:after="140" w:line="300"/>
      </w:pPr>
      <w:r>
        <w:rPr>
          <w:sz w:val="21"/>
          <w:szCs w:val="21"/>
        </w:rPr>
        <w:t xml:space="preserve">Este documento plantea el diseño de una aplicación móvil de gestión de ventas orientada a vendedores informales y comerciantes de muy pequeña escala en Colombia (vendedores ambulantes, puestos de mercado, tenderos sin registro formal). El objetivo del MVP no es competir de frente con apps ya establecidas para tenderos formalizados (Treinta, Vendty, Alegra, Bold), sino resolver un problema más específico y menos atendido: el control diario de ventas y "fiado" (crédito informal a clientes) para vendedores que hoy lo hacen de memoria o en un cuaderno, combinado con la posibilidad de cobrar digitalmente sin necesidad de registro mercantil, aprovechando la nueva infraestructura de pagos interoperables del Banco de la República (Bre-B).</w:t>
      </w:r>
    </w:p>
    <w:p>
      <w:pPr>
        <w:spacing w:after="140" w:line="300"/>
      </w:pPr>
      <w:r>
        <w:rPr>
          <w:sz w:val="21"/>
          <w:szCs w:val="21"/>
        </w:rPr>
        <w:t xml:space="preserve">La oportunidad es real y está respaldada por datos: uno de cada dos trabajadores en Latinoamérica es informal (OCDE, 2025) y más del 99,5% de los comerciantes de la región son micro o pequeñas empresas (PNUD). Sin embargo, el mercado de software de gestión ya tiene jugadores fuertes, por lo que la viabilidad depende de un nicho bien definido, una experiencia radicalmente simple y una ruta de monetización que no dependa solo de suscripciones.</w:t>
      </w:r>
    </w:p>
    <w:p>
      <w:pPr>
        <w:pStyle w:val="Heading1"/>
        <w:pBdr>
          <w:bottom w:val="single" w:color="1F5C4E" w:sz="6" w:space="4"/>
        </w:pBdr>
        <w:spacing w:after="160" w:before="320"/>
      </w:pPr>
      <w:r>
        <w:rPr>
          <w:b/>
          <w:bCs/>
          <w:color w:val="1F5C4E"/>
          <w:sz w:val="28"/>
          <w:szCs w:val="28"/>
        </w:rPr>
        <w:t xml:space="preserve">2. El problema y la oportunidad</w:t>
      </w:r>
    </w:p>
    <w:p>
      <w:pPr>
        <w:spacing w:after="140" w:line="300"/>
      </w:pPr>
      <w:r>
        <w:rPr>
          <w:sz w:val="21"/>
          <w:szCs w:val="21"/>
        </w:rPr>
        <w:t xml:space="preserve">Existe una brecha clara entre la adopción digital del consumidor y la del comerciante informal. En Brasil el 61% de los consumidores ya compra desde el celular y en México el 47%, pero la mayoría de los pequeños vendedores sigue atada a procesos manuales, papel o efectivo. Grandes actores como Mercado Pago (con un crecimiento de ingresos del 45%) y Nubank (131 millones de usuarios) están invirtiendo fuerte en llevar herramientas financieras a este segmento, lo que confirma que la tendencia es real — y que el momento para entrar es ahora, no en cinco años.</w:t>
      </w:r>
    </w:p>
    <w:p>
      <w:pPr>
        <w:spacing w:after="140" w:line="300"/>
      </w:pPr>
      <w:r>
        <w:rPr>
          <w:sz w:val="21"/>
          <w:szCs w:val="21"/>
        </w:rPr>
        <w:t xml:space="preserve">En Colombia, además, hay un catalizador técnico muy concreto: Bre-B, el sistema de pagos inmediatos interoperables del Banco de la República, opera desde julio de 2025 y permite a cualquier persona recibir dinero al instante usando una "llave" (celular, cédula o alias) sin necesidad de compartir datos bancarios ni de tener un registro mercantil formal. Esto reduce drásticamente la barrera técnica para que un vendedor informal acepte pagos digitales — algo que antes exigía datáfono o cuenta empresarial.</w:t>
      </w:r>
    </w:p>
    <w:p>
      <w:pPr>
        <w:pStyle w:val="Heading2"/>
        <w:spacing w:after="100" w:before="240"/>
      </w:pPr>
      <w:r>
        <w:rPr>
          <w:b/>
          <w:bCs/>
          <w:color w:val="1A1A1A"/>
          <w:sz w:val="23"/>
          <w:szCs w:val="23"/>
        </w:rPr>
        <w:t xml:space="preserve">Panorama competitivo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5C4E" w:val="clear"/>
            <w:tcMar>
              <w:top w:type="dxa" w:w="100"/>
              <w:left w:type="dxa" w:w="120"/>
              <w:bottom w:type="dxa" w:w="100"/>
              <w:right w:type="dxa" w:w="120"/>
            </w:tcMar>
            <w:vAlign w:val="center"/>
          </w:tcPr>
          <w:p>
            <w:pPr>
              <w:jc w:val="left"/>
            </w:pPr>
            <w:r>
              <w:rPr>
                <w:b/>
                <w:bCs/>
                <w:color w:val="FFFFFF"/>
                <w:sz w:val="19"/>
                <w:szCs w:val="19"/>
              </w:rPr>
              <w:t xml:space="preserve">Actor</w:t>
            </w:r>
          </w:p>
        </w:tc>
        <w:tc>
          <w:tcPr>
            <w:tcW w:type="dxa" w:w="3200"/>
            <w:shd w:fill="1F5C4E" w:val="clear"/>
            <w:tcMar>
              <w:top w:type="dxa" w:w="100"/>
              <w:left w:type="dxa" w:w="120"/>
              <w:bottom w:type="dxa" w:w="100"/>
              <w:right w:type="dxa" w:w="120"/>
            </w:tcMar>
            <w:vAlign w:val="center"/>
          </w:tcPr>
          <w:p>
            <w:pPr>
              <w:jc w:val="left"/>
            </w:pPr>
            <w:r>
              <w:rPr>
                <w:b/>
                <w:bCs/>
                <w:color w:val="FFFFFF"/>
                <w:sz w:val="19"/>
                <w:szCs w:val="19"/>
              </w:rPr>
              <w:t xml:space="preserve">A quién sirve</w:t>
            </w:r>
          </w:p>
        </w:tc>
        <w:tc>
          <w:tcPr>
            <w:tcW w:type="dxa" w:w="3750"/>
            <w:shd w:fill="1F5C4E" w:val="clear"/>
            <w:tcMar>
              <w:top w:type="dxa" w:w="100"/>
              <w:left w:type="dxa" w:w="120"/>
              <w:bottom w:type="dxa" w:w="100"/>
              <w:right w:type="dxa" w:w="120"/>
            </w:tcMar>
            <w:vAlign w:val="center"/>
          </w:tcPr>
          <w:p>
            <w:pPr>
              <w:jc w:val="left"/>
            </w:pPr>
            <w:r>
              <w:rPr>
                <w:b/>
                <w:bCs/>
                <w:color w:val="FFFFFF"/>
                <w:sz w:val="19"/>
                <w:szCs w:val="19"/>
              </w:rPr>
              <w:t xml:space="preserve">Brecha que deja abierta</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Treinta</w:t>
            </w:r>
          </w:p>
        </w:tc>
        <w:tc>
          <w:tcPr>
            <w:tcW w:type="dxa" w:w="3200"/>
            <w:tcMar>
              <w:top w:type="dxa" w:w="100"/>
              <w:left w:type="dxa" w:w="120"/>
              <w:bottom w:type="dxa" w:w="100"/>
              <w:right w:type="dxa" w:w="120"/>
            </w:tcMar>
            <w:vAlign w:val="center"/>
          </w:tcPr>
          <w:p>
            <w:pPr>
              <w:jc w:val="left"/>
            </w:pPr>
            <w:r>
              <w:rPr>
                <w:b w:val="false"/>
                <w:bCs w:val="false"/>
                <w:color w:val="1A1A1A"/>
                <w:sz w:val="19"/>
                <w:szCs w:val="19"/>
              </w:rPr>
              <w:t xml:space="preserve">Tenderos y minimercados con inventario</w:t>
            </w:r>
          </w:p>
        </w:tc>
        <w:tc>
          <w:tcPr>
            <w:tcW w:type="dxa" w:w="3750"/>
            <w:tcMar>
              <w:top w:type="dxa" w:w="100"/>
              <w:left w:type="dxa" w:w="120"/>
              <w:bottom w:type="dxa" w:w="100"/>
              <w:right w:type="dxa" w:w="120"/>
            </w:tcMar>
            <w:vAlign w:val="center"/>
          </w:tcPr>
          <w:p>
            <w:pPr>
              <w:jc w:val="left"/>
            </w:pPr>
            <w:r>
              <w:rPr>
                <w:b w:val="false"/>
                <w:bCs w:val="false"/>
                <w:color w:val="1A1A1A"/>
                <w:sz w:val="19"/>
                <w:szCs w:val="19"/>
              </w:rPr>
              <w:t xml:space="preserve">Interfaz pensada para negocio fijo, no para venta ambulante ni fiado como eje central</w:t>
            </w:r>
          </w:p>
        </w:tc>
      </w:tr>
      <w:tr>
        <w:tc>
          <w:tcPr>
            <w:tcW w:type="dxa" w:w="24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Vendty / Alegra</w:t>
            </w:r>
          </w:p>
        </w:tc>
        <w:tc>
          <w:tcPr>
            <w:tcW w:type="dxa" w:w="32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Pymes formalizadas con contabilidad</w:t>
            </w:r>
          </w:p>
        </w:tc>
        <w:tc>
          <w:tcPr>
            <w:tcW w:type="dxa" w:w="37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Requieren más estructura de la que un vendedor informal maneja</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Bold</w:t>
            </w:r>
          </w:p>
        </w:tc>
        <w:tc>
          <w:tcPr>
            <w:tcW w:type="dxa" w:w="3200"/>
            <w:tcMar>
              <w:top w:type="dxa" w:w="100"/>
              <w:left w:type="dxa" w:w="120"/>
              <w:bottom w:type="dxa" w:w="100"/>
              <w:right w:type="dxa" w:w="120"/>
            </w:tcMar>
            <w:vAlign w:val="center"/>
          </w:tcPr>
          <w:p>
            <w:pPr>
              <w:jc w:val="left"/>
            </w:pPr>
            <w:r>
              <w:rPr>
                <w:b w:val="false"/>
                <w:bCs w:val="false"/>
                <w:color w:val="1A1A1A"/>
                <w:sz w:val="19"/>
                <w:szCs w:val="19"/>
              </w:rPr>
              <w:t xml:space="preserve">Cobro digital y ecosistema financiero</w:t>
            </w:r>
          </w:p>
        </w:tc>
        <w:tc>
          <w:tcPr>
            <w:tcW w:type="dxa" w:w="3750"/>
            <w:tcMar>
              <w:top w:type="dxa" w:w="100"/>
              <w:left w:type="dxa" w:w="120"/>
              <w:bottom w:type="dxa" w:w="100"/>
              <w:right w:type="dxa" w:w="120"/>
            </w:tcMar>
            <w:vAlign w:val="center"/>
          </w:tcPr>
          <w:p>
            <w:pPr>
              <w:jc w:val="left"/>
            </w:pPr>
            <w:r>
              <w:rPr>
                <w:b w:val="false"/>
                <w:bCs w:val="false"/>
                <w:color w:val="1A1A1A"/>
                <w:sz w:val="19"/>
                <w:szCs w:val="19"/>
              </w:rPr>
              <w:t xml:space="preserve">Fuerte en pagos, débil en gestión diaria del "fiado" y ventas informales</w:t>
            </w:r>
          </w:p>
        </w:tc>
      </w:tr>
      <w:tr>
        <w:tc>
          <w:tcPr>
            <w:tcW w:type="dxa" w:w="24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Mercalocal (Barranquilla)</w:t>
            </w:r>
          </w:p>
        </w:tc>
        <w:tc>
          <w:tcPr>
            <w:tcW w:type="dxa" w:w="32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Vendedores de comida ambulantes</w:t>
            </w:r>
          </w:p>
        </w:tc>
        <w:tc>
          <w:tcPr>
            <w:tcW w:type="dxa" w:w="37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Es un directorio/marketplace comprador-vendedor, no una herramienta interna de gestión</w:t>
            </w:r>
          </w:p>
        </w:tc>
      </w:tr>
    </w:tbl>
    <w:p>
      <w:pPr>
        <w:pStyle w:val="Heading1"/>
        <w:pBdr>
          <w:bottom w:val="single" w:color="1F5C4E" w:sz="6" w:space="4"/>
        </w:pBdr>
        <w:spacing w:after="160" w:before="320"/>
      </w:pPr>
      <w:r>
        <w:rPr>
          <w:b/>
          <w:bCs/>
          <w:color w:val="1F5C4E"/>
          <w:sz w:val="28"/>
          <w:szCs w:val="28"/>
        </w:rPr>
        <w:t xml:space="preserve">3. Usuario objetivo</w:t>
      </w:r>
    </w:p>
    <w:p>
      <w:pPr>
        <w:spacing w:after="140" w:line="300"/>
      </w:pPr>
      <w:r>
        <w:rPr>
          <w:sz w:val="21"/>
          <w:szCs w:val="21"/>
        </w:rPr>
        <w:t xml:space="preserve">El MVP se diseña para un perfil muy concreto, no para "pequeños negocios" en general:</w:t>
      </w:r>
    </w:p>
    <w:p>
      <w:pPr>
        <w:pStyle w:val="ListParagraph"/>
        <w:numPr>
          <w:ilvl w:val="0"/>
          <w:numId w:val="2"/>
        </w:numPr>
        <w:spacing w:after="60" w:line="280"/>
      </w:pPr>
      <w:r>
        <w:rPr>
          <w:b/>
          <w:bCs/>
          <w:sz w:val="21"/>
          <w:szCs w:val="21"/>
        </w:rPr>
        <w:t xml:space="preserve">Quién: </w:t>
      </w:r>
      <w:r>
        <w:rPr>
          <w:sz w:val="21"/>
          <w:szCs w:val="21"/>
        </w:rPr>
        <w:t xml:space="preserve">vendedor con puesto fijo o semifijo (mercado campesino, esquina, plaza) o ambulante, sin registro mercantil (RUT) ni contabilidad formal.</w:t>
      </w:r>
    </w:p>
    <w:p>
      <w:pPr>
        <w:pStyle w:val="ListParagraph"/>
        <w:numPr>
          <w:ilvl w:val="0"/>
          <w:numId w:val="2"/>
        </w:numPr>
        <w:spacing w:after="60" w:line="280"/>
      </w:pPr>
      <w:r>
        <w:rPr>
          <w:b/>
          <w:bCs/>
          <w:sz w:val="21"/>
          <w:szCs w:val="21"/>
        </w:rPr>
        <w:t xml:space="preserve">Dispositivo: </w:t>
      </w:r>
      <w:r>
        <w:rPr>
          <w:sz w:val="21"/>
          <w:szCs w:val="21"/>
        </w:rPr>
        <w:t xml:space="preserve">celular Android de gama baja o media, con datos móviles limitados e intermitentes.</w:t>
      </w:r>
    </w:p>
    <w:p>
      <w:pPr>
        <w:pStyle w:val="ListParagraph"/>
        <w:numPr>
          <w:ilvl w:val="0"/>
          <w:numId w:val="2"/>
        </w:numPr>
        <w:spacing w:after="60" w:line="280"/>
      </w:pPr>
      <w:r>
        <w:rPr>
          <w:b/>
          <w:bCs/>
          <w:sz w:val="21"/>
          <w:szCs w:val="21"/>
        </w:rPr>
        <w:t xml:space="preserve">Hábito actual: </w:t>
      </w:r>
      <w:r>
        <w:rPr>
          <w:sz w:val="21"/>
          <w:szCs w:val="21"/>
        </w:rPr>
        <w:t xml:space="preserve">lleva las cuentas de memoria, en un cuaderno o en notas de WhatsApp; no usa Excel ni software de punto de venta.</w:t>
      </w:r>
    </w:p>
    <w:p>
      <w:pPr>
        <w:pStyle w:val="ListParagraph"/>
        <w:numPr>
          <w:ilvl w:val="0"/>
          <w:numId w:val="2"/>
        </w:numPr>
        <w:spacing w:after="60" w:line="280"/>
      </w:pPr>
      <w:r>
        <w:rPr>
          <w:b/>
          <w:bCs/>
          <w:sz w:val="21"/>
          <w:szCs w:val="21"/>
        </w:rPr>
        <w:t xml:space="preserve">Dolor principal: </w:t>
      </w:r>
      <w:r>
        <w:rPr>
          <w:sz w:val="21"/>
          <w:szCs w:val="21"/>
        </w:rPr>
        <w:t xml:space="preserve">no sabe con precisión cuánto le deben sus clientes de fiado, cuánto ganó realmente en el día, ni tiene forma fácil de cobrar sin efectivo.</w:t>
      </w:r>
    </w:p>
    <w:p>
      <w:pPr>
        <w:pStyle w:val="ListParagraph"/>
        <w:numPr>
          <w:ilvl w:val="0"/>
          <w:numId w:val="2"/>
        </w:numPr>
        <w:spacing w:after="60" w:line="280"/>
      </w:pPr>
      <w:r>
        <w:rPr>
          <w:b/>
          <w:bCs/>
          <w:sz w:val="21"/>
          <w:szCs w:val="21"/>
        </w:rPr>
        <w:t xml:space="preserve">Relación con la banca: </w:t>
      </w:r>
      <w:r>
        <w:rPr>
          <w:sz w:val="21"/>
          <w:szCs w:val="21"/>
        </w:rPr>
        <w:t xml:space="preserve">probablemente ya tiene Nequi o Daviplata (cuentas de bajo monto, sin trámites), aunque no las usa activamente para su negocio.</w:t>
      </w:r>
    </w:p>
    <w:p>
      <w:pPr>
        <w:pStyle w:val="Heading1"/>
        <w:pBdr>
          <w:bottom w:val="single" w:color="1F5C4E" w:sz="6" w:space="4"/>
        </w:pBdr>
        <w:spacing w:after="160" w:before="320"/>
      </w:pPr>
      <w:r>
        <w:rPr>
          <w:b/>
          <w:bCs/>
          <w:color w:val="1F5C4E"/>
          <w:sz w:val="28"/>
          <w:szCs w:val="28"/>
        </w:rPr>
        <w:t xml:space="preserve">4. Alcance del MVP</w:t>
      </w:r>
    </w:p>
    <w:p>
      <w:pPr>
        <w:pStyle w:val="Heading2"/>
        <w:spacing w:after="100" w:before="240"/>
      </w:pPr>
      <w:r>
        <w:rPr>
          <w:b/>
          <w:bCs/>
          <w:color w:val="1A1A1A"/>
          <w:sz w:val="23"/>
          <w:szCs w:val="23"/>
        </w:rPr>
        <w:t xml:space="preserve">Features imprescindibles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5C4E" w:val="clear"/>
            <w:tcMar>
              <w:top w:type="dxa" w:w="100"/>
              <w:left w:type="dxa" w:w="120"/>
              <w:bottom w:type="dxa" w:w="100"/>
              <w:right w:type="dxa" w:w="120"/>
            </w:tcMar>
            <w:vAlign w:val="center"/>
          </w:tcPr>
          <w:p>
            <w:pPr>
              <w:jc w:val="left"/>
            </w:pPr>
            <w:r>
              <w:rPr>
                <w:b/>
                <w:bCs/>
                <w:color w:val="FFFFFF"/>
                <w:sz w:val="19"/>
                <w:szCs w:val="19"/>
              </w:rPr>
              <w:t xml:space="preserve">Funcionalidad</w:t>
            </w:r>
          </w:p>
        </w:tc>
        <w:tc>
          <w:tcPr>
            <w:tcW w:type="dxa" w:w="5750"/>
            <w:shd w:fill="1F5C4E" w:val="clear"/>
            <w:tcMar>
              <w:top w:type="dxa" w:w="100"/>
              <w:left w:type="dxa" w:w="120"/>
              <w:bottom w:type="dxa" w:w="100"/>
              <w:right w:type="dxa" w:w="120"/>
            </w:tcMar>
            <w:vAlign w:val="center"/>
          </w:tcPr>
          <w:p>
            <w:pPr>
              <w:jc w:val="left"/>
            </w:pPr>
            <w:r>
              <w:rPr>
                <w:b/>
                <w:bCs/>
                <w:color w:val="FFFFFF"/>
                <w:sz w:val="19"/>
                <w:szCs w:val="19"/>
              </w:rPr>
              <w:t xml:space="preserve">Por qué es imprescindible</w:t>
            </w:r>
          </w:p>
        </w:tc>
      </w:tr>
      <w:tr>
        <w:tc>
          <w:tcPr>
            <w:tcW w:type="dxa" w:w="3600"/>
            <w:tcMar>
              <w:top w:type="dxa" w:w="100"/>
              <w:left w:type="dxa" w:w="120"/>
              <w:bottom w:type="dxa" w:w="100"/>
              <w:right w:type="dxa" w:w="120"/>
            </w:tcMar>
            <w:vAlign w:val="center"/>
          </w:tcPr>
          <w:p>
            <w:pPr>
              <w:jc w:val="left"/>
            </w:pPr>
            <w:r>
              <w:rPr>
                <w:b w:val="false"/>
                <w:bCs w:val="false"/>
                <w:color w:val="1A1A1A"/>
                <w:sz w:val="19"/>
                <w:szCs w:val="19"/>
              </w:rPr>
              <w:t xml:space="preserve">Registrar venta en 2–3 toques</w:t>
            </w:r>
          </w:p>
        </w:tc>
        <w:tc>
          <w:tcPr>
            <w:tcW w:type="dxa" w:w="5750"/>
            <w:tcMar>
              <w:top w:type="dxa" w:w="100"/>
              <w:left w:type="dxa" w:w="120"/>
              <w:bottom w:type="dxa" w:w="100"/>
              <w:right w:type="dxa" w:w="120"/>
            </w:tcMar>
            <w:vAlign w:val="center"/>
          </w:tcPr>
          <w:p>
            <w:pPr>
              <w:jc w:val="left"/>
            </w:pPr>
            <w:r>
              <w:rPr>
                <w:b w:val="false"/>
                <w:bCs w:val="false"/>
                <w:color w:val="1A1A1A"/>
                <w:sz w:val="19"/>
                <w:szCs w:val="19"/>
              </w:rPr>
              <w:t xml:space="preserve">Si toma más de unos segundos, el vendedor vuelve al cuaderno. Debe funcionar sin escribir (montos rápidos, productos frecuentes como botones).</w:t>
            </w:r>
          </w:p>
        </w:tc>
      </w:tr>
      <w:tr>
        <w:tc>
          <w:tcPr>
            <w:tcW w:type="dxa" w:w="36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Fiado / cuentas por cobrar</w:t>
            </w:r>
          </w:p>
        </w:tc>
        <w:tc>
          <w:tcPr>
            <w:tcW w:type="dxa" w:w="57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Es el dolor más mencionado en este segmento: saber quién debe, cuánto y desde cuándo.</w:t>
            </w:r>
          </w:p>
        </w:tc>
      </w:tr>
      <w:tr>
        <w:tc>
          <w:tcPr>
            <w:tcW w:type="dxa" w:w="3600"/>
            <w:tcMar>
              <w:top w:type="dxa" w:w="100"/>
              <w:left w:type="dxa" w:w="120"/>
              <w:bottom w:type="dxa" w:w="100"/>
              <w:right w:type="dxa" w:w="120"/>
            </w:tcMar>
            <w:vAlign w:val="center"/>
          </w:tcPr>
          <w:p>
            <w:pPr>
              <w:jc w:val="left"/>
            </w:pPr>
            <w:r>
              <w:rPr>
                <w:b w:val="false"/>
                <w:bCs w:val="false"/>
                <w:color w:val="1A1A1A"/>
                <w:sz w:val="19"/>
                <w:szCs w:val="19"/>
              </w:rPr>
              <w:t xml:space="preserve">Resumen diario simple</w:t>
            </w:r>
          </w:p>
        </w:tc>
        <w:tc>
          <w:tcPr>
            <w:tcW w:type="dxa" w:w="5750"/>
            <w:tcMar>
              <w:top w:type="dxa" w:w="100"/>
              <w:left w:type="dxa" w:w="120"/>
              <w:bottom w:type="dxa" w:w="100"/>
              <w:right w:type="dxa" w:w="120"/>
            </w:tcMar>
            <w:vAlign w:val="center"/>
          </w:tcPr>
          <w:p>
            <w:pPr>
              <w:jc w:val="left"/>
            </w:pPr>
            <w:r>
              <w:rPr>
                <w:b w:val="false"/>
                <w:bCs w:val="false"/>
                <w:color w:val="1A1A1A"/>
                <w:sz w:val="19"/>
                <w:szCs w:val="19"/>
              </w:rPr>
              <w:t xml:space="preserve">Cuánto vendí, cuánto gasté, cuánto me deben — en lenguaje cotidiano, no contable.</w:t>
            </w:r>
          </w:p>
        </w:tc>
      </w:tr>
      <w:tr>
        <w:tc>
          <w:tcPr>
            <w:tcW w:type="dxa" w:w="36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Funcionamiento 100% offline</w:t>
            </w:r>
          </w:p>
        </w:tc>
        <w:tc>
          <w:tcPr>
            <w:tcW w:type="dxa" w:w="57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La conectividad intermitente es la norma en plazas de mercado y calle, no la excepción.</w:t>
            </w:r>
          </w:p>
        </w:tc>
      </w:tr>
      <w:tr>
        <w:tc>
          <w:tcPr>
            <w:tcW w:type="dxa" w:w="3600"/>
            <w:tcMar>
              <w:top w:type="dxa" w:w="100"/>
              <w:left w:type="dxa" w:w="120"/>
              <w:bottom w:type="dxa" w:w="100"/>
              <w:right w:type="dxa" w:w="120"/>
            </w:tcMar>
            <w:vAlign w:val="center"/>
          </w:tcPr>
          <w:p>
            <w:pPr>
              <w:jc w:val="left"/>
            </w:pPr>
            <w:r>
              <w:rPr>
                <w:b w:val="false"/>
                <w:bCs w:val="false"/>
                <w:color w:val="1A1A1A"/>
                <w:sz w:val="19"/>
                <w:szCs w:val="19"/>
              </w:rPr>
              <w:t xml:space="preserve">Cobro digital vía QR (Bre-B / Nequi / Daviplata)</w:t>
            </w:r>
          </w:p>
        </w:tc>
        <w:tc>
          <w:tcPr>
            <w:tcW w:type="dxa" w:w="5750"/>
            <w:tcMar>
              <w:top w:type="dxa" w:w="100"/>
              <w:left w:type="dxa" w:w="120"/>
              <w:bottom w:type="dxa" w:w="100"/>
              <w:right w:type="dxa" w:w="120"/>
            </w:tcMar>
            <w:vAlign w:val="center"/>
          </w:tcPr>
          <w:p>
            <w:pPr>
              <w:jc w:val="left"/>
            </w:pPr>
            <w:r>
              <w:rPr>
                <w:b w:val="false"/>
                <w:bCs w:val="false"/>
                <w:color w:val="1A1A1A"/>
                <w:sz w:val="19"/>
                <w:szCs w:val="19"/>
              </w:rPr>
              <w:t xml:space="preserve">Elimina la necesidad de datáfono o registro mercantil para aceptar pagos digitales.</w:t>
            </w:r>
          </w:p>
        </w:tc>
      </w:tr>
      <w:tr>
        <w:tc>
          <w:tcPr>
            <w:tcW w:type="dxa" w:w="36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Registro sin fricción (solo celular, sin papeleo)</w:t>
            </w:r>
          </w:p>
        </w:tc>
        <w:tc>
          <w:tcPr>
            <w:tcW w:type="dxa" w:w="57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Cualquier requisito tipo RUT o cuenta bancaria empresarial mata la adopción en este segmento.</w:t>
            </w:r>
          </w:p>
        </w:tc>
      </w:tr>
    </w:tbl>
    <w:p>
      <w:pPr>
        <w:pStyle w:val="Heading2"/>
        <w:spacing w:after="100" w:before="240"/>
      </w:pPr>
      <w:r>
        <w:rPr>
          <w:b/>
          <w:bCs/>
          <w:color w:val="1A1A1A"/>
          <w:sz w:val="23"/>
          <w:szCs w:val="23"/>
        </w:rPr>
        <w:t xml:space="preserve">Features deseables (V2, no bloquean el lanzamiento)</w:t>
      </w:r>
    </w:p>
    <w:p>
      <w:pPr>
        <w:pStyle w:val="ListParagraph"/>
        <w:numPr>
          <w:ilvl w:val="0"/>
          <w:numId w:val="2"/>
        </w:numPr>
        <w:spacing w:after="60" w:line="280"/>
      </w:pPr>
      <w:r>
        <w:rPr>
          <w:sz w:val="21"/>
          <w:szCs w:val="21"/>
        </w:rPr>
        <w:t xml:space="preserve">Recordatorios automáticos de cobro de fiado por WhatsApp</w:t>
      </w:r>
    </w:p>
    <w:p>
      <w:pPr>
        <w:pStyle w:val="ListParagraph"/>
        <w:numPr>
          <w:ilvl w:val="0"/>
          <w:numId w:val="2"/>
        </w:numPr>
        <w:spacing w:after="60" w:line="280"/>
      </w:pPr>
      <w:r>
        <w:rPr>
          <w:sz w:val="21"/>
          <w:szCs w:val="21"/>
        </w:rPr>
        <w:t xml:space="preserve">Inventario simple para quienes manejan productos fijos (no perecederos variables)</w:t>
      </w:r>
    </w:p>
    <w:p>
      <w:pPr>
        <w:pStyle w:val="ListParagraph"/>
        <w:numPr>
          <w:ilvl w:val="0"/>
          <w:numId w:val="2"/>
        </w:numPr>
        <w:spacing w:after="60" w:line="280"/>
      </w:pPr>
      <w:r>
        <w:rPr>
          <w:sz w:val="21"/>
          <w:szCs w:val="21"/>
        </w:rPr>
        <w:t xml:space="preserve">Reporte exportable de historial de ventas, útil como respaldo para solicitar microcrédito</w:t>
      </w:r>
    </w:p>
    <w:p>
      <w:pPr>
        <w:pStyle w:val="ListParagraph"/>
        <w:numPr>
          <w:ilvl w:val="0"/>
          <w:numId w:val="2"/>
        </w:numPr>
        <w:spacing w:after="60" w:line="280"/>
      </w:pPr>
      <w:r>
        <w:rPr>
          <w:sz w:val="21"/>
          <w:szCs w:val="21"/>
        </w:rPr>
        <w:t xml:space="preserve">Modo con más apoyo visual/ícono para usuarios con baja alfabetización digital</w:t>
      </w:r>
    </w:p>
    <w:p>
      <w:pPr>
        <w:pStyle w:val="Heading2"/>
        <w:spacing w:after="100" w:before="240"/>
      </w:pPr>
      <w:r>
        <w:rPr>
          <w:b/>
          <w:bCs/>
          <w:color w:val="1A1A1A"/>
          <w:sz w:val="23"/>
          <w:szCs w:val="23"/>
        </w:rPr>
        <w:t xml:space="preserve">Fuera de alcance en V1</w:t>
      </w:r>
    </w:p>
    <w:p>
      <w:pPr>
        <w:pStyle w:val="ListParagraph"/>
        <w:numPr>
          <w:ilvl w:val="0"/>
          <w:numId w:val="2"/>
        </w:numPr>
        <w:spacing w:after="60" w:line="280"/>
      </w:pPr>
      <w:r>
        <w:rPr>
          <w:sz w:val="21"/>
          <w:szCs w:val="21"/>
        </w:rPr>
        <w:t xml:space="preserve">Facturación electrónica formal y contabilidad completa</w:t>
      </w:r>
    </w:p>
    <w:p>
      <w:pPr>
        <w:pStyle w:val="ListParagraph"/>
        <w:numPr>
          <w:ilvl w:val="0"/>
          <w:numId w:val="2"/>
        </w:numPr>
        <w:spacing w:after="60" w:line="280"/>
      </w:pPr>
      <w:r>
        <w:rPr>
          <w:sz w:val="21"/>
          <w:szCs w:val="21"/>
        </w:rPr>
        <w:t xml:space="preserve">Multi-sucursal o multi-usuario con roles</w:t>
      </w:r>
    </w:p>
    <w:p>
      <w:pPr>
        <w:pStyle w:val="ListParagraph"/>
        <w:numPr>
          <w:ilvl w:val="0"/>
          <w:numId w:val="2"/>
        </w:numPr>
        <w:spacing w:after="60" w:line="280"/>
      </w:pPr>
      <w:r>
        <w:rPr>
          <w:sz w:val="21"/>
          <w:szCs w:val="21"/>
        </w:rPr>
        <w:t xml:space="preserve">Marketplace o matching comprador-vendedor (eso ya lo cubre Mercalocal en su nicho)</w:t>
      </w:r>
    </w:p>
    <w:p>
      <w:pPr>
        <w:pStyle w:val="Heading1"/>
        <w:pBdr>
          <w:bottom w:val="single" w:color="1F5C4E" w:sz="6" w:space="4"/>
        </w:pBdr>
        <w:spacing w:after="160" w:before="320"/>
      </w:pPr>
      <w:r>
        <w:rPr>
          <w:b/>
          <w:bCs/>
          <w:color w:val="1F5C4E"/>
          <w:sz w:val="28"/>
          <w:szCs w:val="28"/>
        </w:rPr>
        <w:t xml:space="preserve">5. Flujos de usuario clave</w:t>
      </w:r>
    </w:p>
    <w:p>
      <w:pPr>
        <w:pStyle w:val="ListParagraph"/>
        <w:numPr>
          <w:ilvl w:val="0"/>
          <w:numId w:val="2"/>
        </w:numPr>
        <w:spacing w:after="60" w:line="280"/>
      </w:pPr>
      <w:r>
        <w:rPr>
          <w:b/>
          <w:bCs/>
          <w:sz w:val="21"/>
          <w:szCs w:val="21"/>
        </w:rPr>
        <w:t xml:space="preserve">Alta: </w:t>
      </w:r>
      <w:r>
        <w:rPr>
          <w:sz w:val="21"/>
          <w:szCs w:val="21"/>
        </w:rPr>
        <w:t xml:space="preserve">número de celular + verificación por WhatsApp/SMS, sin correo ni contraseña. Menos de 1 minuto.</w:t>
      </w:r>
    </w:p>
    <w:p>
      <w:pPr>
        <w:pStyle w:val="ListParagraph"/>
        <w:numPr>
          <w:ilvl w:val="0"/>
          <w:numId w:val="2"/>
        </w:numPr>
        <w:spacing w:after="60" w:line="280"/>
      </w:pPr>
      <w:r>
        <w:rPr>
          <w:b/>
          <w:bCs/>
          <w:sz w:val="21"/>
          <w:szCs w:val="21"/>
        </w:rPr>
        <w:t xml:space="preserve">Registrar venta: </w:t>
      </w:r>
      <w:r>
        <w:rPr>
          <w:sz w:val="21"/>
          <w:szCs w:val="21"/>
        </w:rPr>
        <w:t xml:space="preserve">pantalla principal con botón grande "+ Venta", monto rápido o producto frecuente, opcional marcar como fiado.</w:t>
      </w:r>
    </w:p>
    <w:p>
      <w:pPr>
        <w:pStyle w:val="ListParagraph"/>
        <w:numPr>
          <w:ilvl w:val="0"/>
          <w:numId w:val="2"/>
        </w:numPr>
        <w:spacing w:after="60" w:line="280"/>
      </w:pPr>
      <w:r>
        <w:rPr>
          <w:b/>
          <w:bCs/>
          <w:sz w:val="21"/>
          <w:szCs w:val="21"/>
        </w:rPr>
        <w:t xml:space="preserve">Registrar fiado: </w:t>
      </w:r>
      <w:r>
        <w:rPr>
          <w:sz w:val="21"/>
          <w:szCs w:val="21"/>
        </w:rPr>
        <w:t xml:space="preserve">elegir cliente (o crearlo con solo el nombre), monto, fecha; lista de "me deben" ordenada por antigüedad.</w:t>
      </w:r>
    </w:p>
    <w:p>
      <w:pPr>
        <w:pStyle w:val="ListParagraph"/>
        <w:numPr>
          <w:ilvl w:val="0"/>
          <w:numId w:val="2"/>
        </w:numPr>
        <w:spacing w:after="60" w:line="280"/>
      </w:pPr>
      <w:r>
        <w:rPr>
          <w:b/>
          <w:bCs/>
          <w:sz w:val="21"/>
          <w:szCs w:val="21"/>
        </w:rPr>
        <w:t xml:space="preserve">Cobrar: </w:t>
      </w:r>
      <w:r>
        <w:rPr>
          <w:sz w:val="21"/>
          <w:szCs w:val="21"/>
        </w:rPr>
        <w:t xml:space="preserve">generar QR de cobro (Bre-B/Nequi/Daviplata) o marcar pago en efectivo; se descuenta automáticamente del saldo del cliente.</w:t>
      </w:r>
    </w:p>
    <w:p>
      <w:pPr>
        <w:pStyle w:val="ListParagraph"/>
        <w:numPr>
          <w:ilvl w:val="0"/>
          <w:numId w:val="2"/>
        </w:numPr>
        <w:spacing w:after="60" w:line="280"/>
      </w:pPr>
      <w:r>
        <w:rPr>
          <w:b/>
          <w:bCs/>
          <w:sz w:val="21"/>
          <w:szCs w:val="21"/>
        </w:rPr>
        <w:t xml:space="preserve">Ver resumen: </w:t>
      </w:r>
      <w:r>
        <w:rPr>
          <w:sz w:val="21"/>
          <w:szCs w:val="21"/>
        </w:rPr>
        <w:t xml:space="preserve">un solo tablero con ventas del día, gastos y total por cobrar — sin jerga contable.</w:t>
      </w:r>
    </w:p>
    <w:p>
      <w:pPr>
        <w:pStyle w:val="Heading1"/>
        <w:pBdr>
          <w:bottom w:val="single" w:color="1F5C4E" w:sz="6" w:space="4"/>
        </w:pBdr>
        <w:spacing w:after="160" w:before="320"/>
      </w:pPr>
      <w:r>
        <w:rPr>
          <w:b/>
          <w:bCs/>
          <w:color w:val="1F5C4E"/>
          <w:sz w:val="28"/>
          <w:szCs w:val="28"/>
        </w:rPr>
        <w:t xml:space="preserve">6. Arquitectura técnica</w:t>
      </w:r>
    </w:p>
    <w:p>
      <w:pPr>
        <w:pStyle w:val="Heading2"/>
        <w:spacing w:after="100" w:before="240"/>
      </w:pPr>
      <w:r>
        <w:rPr>
          <w:b/>
          <w:bCs/>
          <w:color w:val="1A1A1A"/>
          <w:sz w:val="23"/>
          <w:szCs w:val="23"/>
        </w:rPr>
        <w:t xml:space="preserve">Stack recomendado</w:t>
      </w:r>
    </w:p>
    <w:p>
      <w:pPr>
        <w:pStyle w:val="ListParagraph"/>
        <w:numPr>
          <w:ilvl w:val="0"/>
          <w:numId w:val="2"/>
        </w:numPr>
        <w:spacing w:after="60" w:line="280"/>
      </w:pPr>
      <w:r>
        <w:rPr>
          <w:b/>
          <w:bCs/>
          <w:sz w:val="21"/>
          <w:szCs w:val="21"/>
        </w:rPr>
        <w:t xml:space="preserve">Frontend móvil: </w:t>
      </w:r>
      <w:r>
        <w:rPr>
          <w:sz w:val="21"/>
          <w:szCs w:val="21"/>
        </w:rPr>
        <w:t xml:space="preserve">Flutter. Un solo código para Android/iOS, mejor desempeño en equipos de gama baja que alternativas híbridas, y buen soporte de almacenamiento local.</w:t>
      </w:r>
    </w:p>
    <w:p>
      <w:pPr>
        <w:pStyle w:val="ListParagraph"/>
        <w:numPr>
          <w:ilvl w:val="0"/>
          <w:numId w:val="2"/>
        </w:numPr>
        <w:spacing w:after="60" w:line="280"/>
      </w:pPr>
      <w:r>
        <w:rPr>
          <w:b/>
          <w:bCs/>
          <w:sz w:val="21"/>
          <w:szCs w:val="21"/>
        </w:rPr>
        <w:t xml:space="preserve">Almacenamiento local (fuente de verdad): </w:t>
      </w:r>
      <w:r>
        <w:rPr>
          <w:sz w:val="21"/>
          <w:szCs w:val="21"/>
        </w:rPr>
        <w:t xml:space="preserve">SQLite embebido (vía Drift o Isar) — la app debe ser completamente funcional sin conexión.</w:t>
      </w:r>
    </w:p>
    <w:p>
      <w:pPr>
        <w:pStyle w:val="ListParagraph"/>
        <w:numPr>
          <w:ilvl w:val="0"/>
          <w:numId w:val="2"/>
        </w:numPr>
        <w:spacing w:after="60" w:line="280"/>
      </w:pPr>
      <w:r>
        <w:rPr>
          <w:b/>
          <w:bCs/>
          <w:sz w:val="21"/>
          <w:szCs w:val="21"/>
        </w:rPr>
        <w:t xml:space="preserve">Backend / sincronización: </w:t>
      </w:r>
      <w:r>
        <w:rPr>
          <w:sz w:val="21"/>
          <w:szCs w:val="21"/>
        </w:rPr>
        <w:t xml:space="preserve">Supabase (Postgres administrado + autenticación + funciones) para sincronizar cuando hay señal; evita construir infraestructura propia en el MVP.</w:t>
      </w:r>
    </w:p>
    <w:p>
      <w:pPr>
        <w:pStyle w:val="ListParagraph"/>
        <w:numPr>
          <w:ilvl w:val="0"/>
          <w:numId w:val="2"/>
        </w:numPr>
        <w:spacing w:after="60" w:line="280"/>
      </w:pPr>
      <w:r>
        <w:rPr>
          <w:b/>
          <w:bCs/>
          <w:sz w:val="21"/>
          <w:szCs w:val="21"/>
        </w:rPr>
        <w:t xml:space="preserve">Autenticación: </w:t>
      </w:r>
      <w:r>
        <w:rPr>
          <w:sz w:val="21"/>
          <w:szCs w:val="21"/>
        </w:rPr>
        <w:t xml:space="preserve">OTP por SMS o WhatsApp Business API — no pedir correo ni contraseña.</w:t>
      </w:r>
    </w:p>
    <w:p>
      <w:pPr>
        <w:pStyle w:val="ListParagraph"/>
        <w:numPr>
          <w:ilvl w:val="0"/>
          <w:numId w:val="2"/>
        </w:numPr>
        <w:spacing w:after="60" w:line="280"/>
      </w:pPr>
      <w:r>
        <w:rPr>
          <w:b/>
          <w:bCs/>
          <w:sz w:val="21"/>
          <w:szCs w:val="21"/>
        </w:rPr>
        <w:t xml:space="preserve">Pagos: </w:t>
      </w:r>
      <w:r>
        <w:rPr>
          <w:sz w:val="21"/>
          <w:szCs w:val="21"/>
        </w:rPr>
        <w:t xml:space="preserve">integración con QR interoperable Bre-B (o, mientras se generaliza su adopción, QR de Bold/Nequi/Daviplata) para que el cliente pague directo a la "llave" del vendedor, sin pasar el dinero por la app.</w:t>
      </w:r>
    </w:p>
    <w:p>
      <w:pPr>
        <w:pStyle w:val="Heading2"/>
        <w:spacing w:after="100" w:before="240"/>
      </w:pPr>
      <w:r>
        <w:rPr>
          <w:b/>
          <w:bCs/>
          <w:color w:val="1A1A1A"/>
          <w:sz w:val="23"/>
          <w:szCs w:val="23"/>
        </w:rPr>
        <w:t xml:space="preserve">Consideraciones de diseño técnico</w:t>
      </w:r>
    </w:p>
    <w:p>
      <w:pPr>
        <w:pStyle w:val="ListParagraph"/>
        <w:numPr>
          <w:ilvl w:val="0"/>
          <w:numId w:val="2"/>
        </w:numPr>
        <w:spacing w:after="60" w:line="280"/>
      </w:pPr>
      <w:r>
        <w:rPr>
          <w:sz w:val="21"/>
          <w:szCs w:val="21"/>
        </w:rPr>
        <w:t xml:space="preserve">Optimizar peso de la app y consumo de datos: gran parte del público paga datos por paquetes pequeños.</w:t>
      </w:r>
    </w:p>
    <w:p>
      <w:pPr>
        <w:pStyle w:val="ListParagraph"/>
        <w:numPr>
          <w:ilvl w:val="0"/>
          <w:numId w:val="2"/>
        </w:numPr>
        <w:spacing w:after="60" w:line="280"/>
      </w:pPr>
      <w:r>
        <w:rPr>
          <w:sz w:val="21"/>
          <w:szCs w:val="21"/>
        </w:rPr>
        <w:t xml:space="preserve">Sincronización diferida y resolución simple de conflictos (el dispositivo del vendedor es la fuente de verdad; el backend es respaldo y reporte).</w:t>
      </w:r>
    </w:p>
    <w:p>
      <w:pPr>
        <w:pStyle w:val="ListParagraph"/>
        <w:numPr>
          <w:ilvl w:val="0"/>
          <w:numId w:val="2"/>
        </w:numPr>
        <w:spacing w:after="60" w:line="280"/>
      </w:pPr>
      <w:r>
        <w:rPr>
          <w:sz w:val="21"/>
          <w:szCs w:val="21"/>
        </w:rPr>
        <w:t xml:space="preserve">Interfaz basada en íconos y montos grandes, mínima dependencia de texto largo, pensada para personas con poca práctica en apps.</w:t>
      </w:r>
    </w:p>
    <w:p>
      <w:pPr>
        <w:pStyle w:val="ListParagraph"/>
        <w:numPr>
          <w:ilvl w:val="0"/>
          <w:numId w:val="2"/>
        </w:numPr>
        <w:spacing w:after="60" w:line="280"/>
      </w:pPr>
      <w:r>
        <w:rPr>
          <w:sz w:val="21"/>
          <w:szCs w:val="21"/>
        </w:rPr>
        <w:t xml:space="preserve">Cumplimiento de datos personales (Habeas Data / Ley 1581 de 2012 en Colombia) desde el diseño, dado que se manejan datos de clientes y transacciones.</w:t>
      </w:r>
    </w:p>
    <w:p>
      <w:pPr>
        <w:spacing w:after="140" w:line="300"/>
      </w:pPr>
      <w:r>
        <w:rPr>
          <w:sz w:val="21"/>
          <w:szCs w:val="21"/>
        </w:rPr>
        <w:t xml:space="preserve">La viabilidad técnica en sí no es el riesgo principal: con este stack, un equipo pequeño (2–3 desarrolladores) puede tener un MVP funcional en 3–4 meses. El riesgo real está en la adopción y la confianza del usuario, no en la ingeniería.</w:t>
      </w:r>
    </w:p>
    <w:p>
      <w:pPr>
        <w:pStyle w:val="Heading1"/>
        <w:pBdr>
          <w:bottom w:val="single" w:color="1F5C4E" w:sz="6" w:space="4"/>
        </w:pBdr>
        <w:spacing w:after="160" w:before="320"/>
      </w:pPr>
      <w:r>
        <w:rPr>
          <w:b/>
          <w:bCs/>
          <w:color w:val="1F5C4E"/>
          <w:sz w:val="28"/>
          <w:szCs w:val="28"/>
        </w:rPr>
        <w:t xml:space="preserve">7. Modelo de monetización</w:t>
      </w:r>
    </w:p>
    <w:p>
      <w:pPr>
        <w:spacing w:after="140" w:line="300"/>
      </w:pPr>
      <w:r>
        <w:rPr>
          <w:sz w:val="21"/>
          <w:szCs w:val="21"/>
        </w:rPr>
        <w:t xml:space="preserve">Cobrar una suscripción desde el día uno es el error más común en este segmento: los márgenes del usuario son muy delgados y la confianza toma tiempo. Se recomienda monetizar en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5C4E" w:val="clear"/>
            <w:tcMar>
              <w:top w:type="dxa" w:w="100"/>
              <w:left w:type="dxa" w:w="120"/>
              <w:bottom w:type="dxa" w:w="100"/>
              <w:right w:type="dxa" w:w="120"/>
            </w:tcMar>
            <w:vAlign w:val="center"/>
          </w:tcPr>
          <w:p>
            <w:pPr>
              <w:jc w:val="left"/>
            </w:pPr>
            <w:r>
              <w:rPr>
                <w:b/>
                <w:bCs/>
                <w:color w:val="FFFFFF"/>
                <w:sz w:val="19"/>
                <w:szCs w:val="19"/>
              </w:rPr>
              <w:t xml:space="preserve">Fase</w:t>
            </w:r>
          </w:p>
        </w:tc>
        <w:tc>
          <w:tcPr>
            <w:tcW w:type="dxa" w:w="3400"/>
            <w:shd w:fill="1F5C4E" w:val="clear"/>
            <w:tcMar>
              <w:top w:type="dxa" w:w="100"/>
              <w:left w:type="dxa" w:w="120"/>
              <w:bottom w:type="dxa" w:w="100"/>
              <w:right w:type="dxa" w:w="120"/>
            </w:tcMar>
            <w:vAlign w:val="center"/>
          </w:tcPr>
          <w:p>
            <w:pPr>
              <w:jc w:val="left"/>
            </w:pPr>
            <w:r>
              <w:rPr>
                <w:b/>
                <w:bCs/>
                <w:color w:val="FFFFFF"/>
                <w:sz w:val="19"/>
                <w:szCs w:val="19"/>
              </w:rPr>
              <w:t xml:space="preserve">Modelo</w:t>
            </w:r>
          </w:p>
        </w:tc>
        <w:tc>
          <w:tcPr>
            <w:tcW w:type="dxa" w:w="3350"/>
            <w:shd w:fill="1F5C4E" w:val="clear"/>
            <w:tcMar>
              <w:top w:type="dxa" w:w="100"/>
              <w:left w:type="dxa" w:w="120"/>
              <w:bottom w:type="dxa" w:w="100"/>
              <w:right w:type="dxa" w:w="120"/>
            </w:tcMar>
            <w:vAlign w:val="center"/>
          </w:tcPr>
          <w:p>
            <w:pPr>
              <w:jc w:val="left"/>
            </w:pPr>
            <w:r>
              <w:rPr>
                <w:b/>
                <w:bCs/>
                <w:color w:val="FFFFFF"/>
                <w:sz w:val="19"/>
                <w:szCs w:val="19"/>
              </w:rPr>
              <w:t xml:space="preserve">Lógica</w:t>
            </w:r>
          </w:p>
        </w:tc>
      </w:tr>
      <w:tr>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1. Adquisición (meses 0–6)</w:t>
            </w:r>
          </w:p>
        </w:tc>
        <w:tc>
          <w:tcPr>
            <w:tcW w:type="dxa" w:w="3400"/>
            <w:tcMar>
              <w:top w:type="dxa" w:w="100"/>
              <w:left w:type="dxa" w:w="120"/>
              <w:bottom w:type="dxa" w:w="100"/>
              <w:right w:type="dxa" w:w="120"/>
            </w:tcMar>
            <w:vAlign w:val="center"/>
          </w:tcPr>
          <w:p>
            <w:pPr>
              <w:jc w:val="left"/>
            </w:pPr>
            <w:r>
              <w:rPr>
                <w:b w:val="false"/>
                <w:bCs w:val="false"/>
                <w:color w:val="1A1A1A"/>
                <w:sz w:val="19"/>
                <w:szCs w:val="19"/>
              </w:rPr>
              <w:t xml:space="preserve">100% gratis, sin comisión por transacción</w:t>
            </w:r>
          </w:p>
        </w:tc>
        <w:tc>
          <w:tcPr>
            <w:tcW w:type="dxa" w:w="3350"/>
            <w:tcMar>
              <w:top w:type="dxa" w:w="100"/>
              <w:left w:type="dxa" w:w="120"/>
              <w:bottom w:type="dxa" w:w="100"/>
              <w:right w:type="dxa" w:w="120"/>
            </w:tcMar>
            <w:vAlign w:val="center"/>
          </w:tcPr>
          <w:p>
            <w:pPr>
              <w:jc w:val="left"/>
            </w:pPr>
            <w:r>
              <w:rPr>
                <w:b w:val="false"/>
                <w:bCs w:val="false"/>
                <w:color w:val="1A1A1A"/>
                <w:sz w:val="19"/>
                <w:szCs w:val="19"/>
              </w:rPr>
              <w:t xml:space="preserve">Prioridad es volumen y confianza, no ingreso. Así lo hizo Treinta para ganar mercado.</w:t>
            </w:r>
          </w:p>
        </w:tc>
      </w:tr>
      <w:tr>
        <w:tc>
          <w:tcPr>
            <w:tcW w:type="dxa" w:w="26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2. Monetización ligera (meses 6–12)</w:t>
            </w:r>
          </w:p>
        </w:tc>
        <w:tc>
          <w:tcPr>
            <w:tcW w:type="dxa" w:w="34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Suscripción premium opcional (reportes avanzados, recordatorios automáticos, múltiples usuarios)</w:t>
            </w:r>
          </w:p>
        </w:tc>
        <w:tc>
          <w:tcPr>
            <w:tcW w:type="dxa" w:w="33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Solo una vez que el vendedor depende de la app para su operación diaria.</w:t>
            </w:r>
          </w:p>
        </w:tc>
      </w:tr>
      <w:tr>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3. Servicios financieros (12+ meses)</w:t>
            </w:r>
          </w:p>
        </w:tc>
        <w:tc>
          <w:tcPr>
            <w:tcW w:type="dxa" w:w="3400"/>
            <w:tcMar>
              <w:top w:type="dxa" w:w="100"/>
              <w:left w:type="dxa" w:w="120"/>
              <w:bottom w:type="dxa" w:w="100"/>
              <w:right w:type="dxa" w:w="120"/>
            </w:tcMar>
            <w:vAlign w:val="center"/>
          </w:tcPr>
          <w:p>
            <w:pPr>
              <w:jc w:val="left"/>
            </w:pPr>
            <w:r>
              <w:rPr>
                <w:b w:val="false"/>
                <w:bCs w:val="false"/>
                <w:color w:val="1A1A1A"/>
                <w:sz w:val="19"/>
                <w:szCs w:val="19"/>
              </w:rPr>
              <w:t xml:space="preserve">Microcréditos de inventario o adelantos basados en el historial de ventas dentro de la app, en alianza con un aliado financiero o fondeadora</w:t>
            </w:r>
          </w:p>
        </w:tc>
        <w:tc>
          <w:tcPr>
            <w:tcW w:type="dxa" w:w="3350"/>
            <w:tcMar>
              <w:top w:type="dxa" w:w="100"/>
              <w:left w:type="dxa" w:w="120"/>
              <w:bottom w:type="dxa" w:w="100"/>
              <w:right w:type="dxa" w:w="120"/>
            </w:tcMar>
            <w:vAlign w:val="center"/>
          </w:tcPr>
          <w:p>
            <w:pPr>
              <w:jc w:val="left"/>
            </w:pPr>
            <w:r>
              <w:rPr>
                <w:b w:val="false"/>
                <w:bCs w:val="false"/>
                <w:color w:val="1A1A1A"/>
                <w:sz w:val="19"/>
                <w:szCs w:val="19"/>
              </w:rPr>
              <w:t xml:space="preserve">Aquí está el margen real: el mismo camino que están tomando Nubank y Mercado Pago. Requiere volumen de datos y, eventualmente, una alianza regulada.</w:t>
            </w:r>
          </w:p>
        </w:tc>
      </w:tr>
    </w:tbl>
    <w:p>
      <w:pPr>
        <w:pStyle w:val="Heading1"/>
        <w:pBdr>
          <w:bottom w:val="single" w:color="1F5C4E" w:sz="6" w:space="4"/>
        </w:pBdr>
        <w:spacing w:after="160" w:before="320"/>
      </w:pPr>
      <w:r>
        <w:rPr>
          <w:b/>
          <w:bCs/>
          <w:color w:val="1F5C4E"/>
          <w:sz w:val="28"/>
          <w:szCs w:val="28"/>
        </w:rPr>
        <w:t xml:space="preserve">8. Riesgos principales</w:t>
      </w:r>
    </w:p>
    <w:p>
      <w:pPr>
        <w:pStyle w:val="ListParagraph"/>
        <w:numPr>
          <w:ilvl w:val="0"/>
          <w:numId w:val="2"/>
        </w:numPr>
        <w:spacing w:after="60" w:line="280"/>
      </w:pPr>
      <w:r>
        <w:rPr>
          <w:b/>
          <w:bCs/>
          <w:sz w:val="21"/>
          <w:szCs w:val="21"/>
        </w:rPr>
        <w:t xml:space="preserve">Adopción, no tecnología: </w:t>
      </w:r>
      <w:r>
        <w:rPr>
          <w:sz w:val="21"/>
          <w:szCs w:val="21"/>
        </w:rPr>
        <w:t xml:space="preserve">el reto mayor es convencer a alguien que nunca ha usado software de gestión, no construir la app.</w:t>
      </w:r>
    </w:p>
    <w:p>
      <w:pPr>
        <w:pStyle w:val="ListParagraph"/>
        <w:numPr>
          <w:ilvl w:val="0"/>
          <w:numId w:val="2"/>
        </w:numPr>
        <w:spacing w:after="60" w:line="280"/>
      </w:pPr>
      <w:r>
        <w:rPr>
          <w:b/>
          <w:bCs/>
          <w:sz w:val="21"/>
          <w:szCs w:val="21"/>
        </w:rPr>
        <w:t xml:space="preserve">Confianza en pagos digitales: </w:t>
      </w:r>
      <w:r>
        <w:rPr>
          <w:sz w:val="21"/>
          <w:szCs w:val="21"/>
        </w:rPr>
        <w:t xml:space="preserve">este público ha sido tradicionalmente reacio a mover su efectivo diario a canales digitales; el onboarding debe ser gradual (empezar solo con registro de ventas, el cobro digital viene después).</w:t>
      </w:r>
    </w:p>
    <w:p>
      <w:pPr>
        <w:pStyle w:val="ListParagraph"/>
        <w:numPr>
          <w:ilvl w:val="0"/>
          <w:numId w:val="2"/>
        </w:numPr>
        <w:spacing w:after="60" w:line="280"/>
      </w:pPr>
      <w:r>
        <w:rPr>
          <w:b/>
          <w:bCs/>
          <w:sz w:val="21"/>
          <w:szCs w:val="21"/>
        </w:rPr>
        <w:t xml:space="preserve">Márgenes delgados: </w:t>
      </w:r>
      <w:r>
        <w:rPr>
          <w:sz w:val="21"/>
          <w:szCs w:val="21"/>
        </w:rPr>
        <w:t xml:space="preserve">cualquier monetización temprana puede matar la adopción; validar primero, cobrar después.</w:t>
      </w:r>
    </w:p>
    <w:p>
      <w:pPr>
        <w:pStyle w:val="ListParagraph"/>
        <w:numPr>
          <w:ilvl w:val="0"/>
          <w:numId w:val="2"/>
        </w:numPr>
        <w:spacing w:after="60" w:line="280"/>
      </w:pPr>
      <w:r>
        <w:rPr>
          <w:b/>
          <w:bCs/>
          <w:sz w:val="21"/>
          <w:szCs w:val="21"/>
        </w:rPr>
        <w:t xml:space="preserve">Dependencia regulatoria: </w:t>
      </w:r>
      <w:r>
        <w:rPr>
          <w:sz w:val="21"/>
          <w:szCs w:val="21"/>
        </w:rPr>
        <w:t xml:space="preserve">la fase de microcrédito requiere cumplir regulación financiera colombiana o asociarse con un actor ya regulado.</w:t>
      </w:r>
    </w:p>
    <w:p>
      <w:pPr>
        <w:pStyle w:val="ListParagraph"/>
        <w:numPr>
          <w:ilvl w:val="0"/>
          <w:numId w:val="2"/>
        </w:numPr>
        <w:spacing w:after="60" w:line="280"/>
      </w:pPr>
      <w:r>
        <w:rPr>
          <w:b/>
          <w:bCs/>
          <w:sz w:val="21"/>
          <w:szCs w:val="21"/>
        </w:rPr>
        <w:t xml:space="preserve">Competencia de grandes fintech: </w:t>
      </w:r>
      <w:r>
        <w:rPr>
          <w:sz w:val="21"/>
          <w:szCs w:val="21"/>
        </w:rPr>
        <w:t xml:space="preserve">Bold, Nequi y Mercado Pago tienen capital para moverse hacia este nicho; la defensa está en ser el mejor producto de gestión diaria (fiado + ventas), no en pagos.</w:t>
      </w:r>
    </w:p>
    <w:p>
      <w:pPr>
        <w:pStyle w:val="Heading1"/>
        <w:pBdr>
          <w:bottom w:val="single" w:color="1F5C4E" w:sz="6" w:space="4"/>
        </w:pBdr>
        <w:spacing w:after="160" w:before="320"/>
      </w:pPr>
      <w:r>
        <w:rPr>
          <w:b/>
          <w:bCs/>
          <w:color w:val="1F5C4E"/>
          <w:sz w:val="28"/>
          <w:szCs w:val="28"/>
        </w:rPr>
        <w:t xml:space="preserve">9. Roadmap sugerido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5C4E" w:val="clear"/>
            <w:tcMar>
              <w:top w:type="dxa" w:w="100"/>
              <w:left w:type="dxa" w:w="120"/>
              <w:bottom w:type="dxa" w:w="100"/>
              <w:right w:type="dxa" w:w="120"/>
            </w:tcMar>
            <w:vAlign w:val="center"/>
          </w:tcPr>
          <w:p>
            <w:pPr>
              <w:jc w:val="left"/>
            </w:pPr>
            <w:r>
              <w:rPr>
                <w:b/>
                <w:bCs/>
                <w:color w:val="FFFFFF"/>
                <w:sz w:val="19"/>
                <w:szCs w:val="19"/>
              </w:rPr>
              <w:t xml:space="preserve">Periodo</w:t>
            </w:r>
          </w:p>
        </w:tc>
        <w:tc>
          <w:tcPr>
            <w:tcW w:type="dxa" w:w="7150"/>
            <w:shd w:fill="1F5C4E" w:val="clear"/>
            <w:tcMar>
              <w:top w:type="dxa" w:w="100"/>
              <w:left w:type="dxa" w:w="120"/>
              <w:bottom w:type="dxa" w:w="100"/>
              <w:right w:type="dxa" w:w="120"/>
            </w:tcMar>
            <w:vAlign w:val="center"/>
          </w:tcPr>
          <w:p>
            <w:pPr>
              <w:jc w:val="left"/>
            </w:pPr>
            <w:r>
              <w:rPr>
                <w:b/>
                <w:bCs/>
                <w:color w:val="FFFFFF"/>
                <w:sz w:val="19"/>
                <w:szCs w:val="19"/>
              </w:rPr>
              <w:t xml:space="preserve">Objetivo</w:t>
            </w:r>
          </w:p>
        </w:tc>
      </w:tr>
      <w:tr>
        <w:tc>
          <w:tcPr>
            <w:tcW w:type="dxa" w:w="2200"/>
            <w:tcMar>
              <w:top w:type="dxa" w:w="100"/>
              <w:left w:type="dxa" w:w="120"/>
              <w:bottom w:type="dxa" w:w="100"/>
              <w:right w:type="dxa" w:w="120"/>
            </w:tcMar>
            <w:vAlign w:val="center"/>
          </w:tcPr>
          <w:p>
            <w:pPr>
              <w:jc w:val="left"/>
            </w:pPr>
            <w:r>
              <w:rPr>
                <w:b w:val="false"/>
                <w:bCs w:val="false"/>
                <w:color w:val="1A1A1A"/>
                <w:sz w:val="19"/>
                <w:szCs w:val="19"/>
              </w:rPr>
              <w:t xml:space="preserve">Meses 0–1</w:t>
            </w:r>
          </w:p>
        </w:tc>
        <w:tc>
          <w:tcPr>
            <w:tcW w:type="dxa" w:w="7150"/>
            <w:tcMar>
              <w:top w:type="dxa" w:w="100"/>
              <w:left w:type="dxa" w:w="120"/>
              <w:bottom w:type="dxa" w:w="100"/>
              <w:right w:type="dxa" w:w="120"/>
            </w:tcMar>
            <w:vAlign w:val="center"/>
          </w:tcPr>
          <w:p>
            <w:pPr>
              <w:jc w:val="left"/>
            </w:pPr>
            <w:r>
              <w:rPr>
                <w:b w:val="false"/>
                <w:bCs w:val="false"/>
                <w:color w:val="1A1A1A"/>
                <w:sz w:val="19"/>
                <w:szCs w:val="19"/>
              </w:rPr>
              <w:t xml:space="preserve">Validar el problema con 15–20 vendedores reales (entrevistas + prototipo en papel/Figma) antes de escribir código.</w:t>
            </w:r>
          </w:p>
        </w:tc>
      </w:tr>
      <w:tr>
        <w:tc>
          <w:tcPr>
            <w:tcW w:type="dxa" w:w="22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Meses 1–4</w:t>
            </w:r>
          </w:p>
        </w:tc>
        <w:tc>
          <w:tcPr>
            <w:tcW w:type="dxa" w:w="71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Construir MVP: registro de venta, fiado, resumen diario, modo offline.</w:t>
            </w:r>
          </w:p>
        </w:tc>
      </w:tr>
      <w:tr>
        <w:tc>
          <w:tcPr>
            <w:tcW w:type="dxa" w:w="2200"/>
            <w:tcMar>
              <w:top w:type="dxa" w:w="100"/>
              <w:left w:type="dxa" w:w="120"/>
              <w:bottom w:type="dxa" w:w="100"/>
              <w:right w:type="dxa" w:w="120"/>
            </w:tcMar>
            <w:vAlign w:val="center"/>
          </w:tcPr>
          <w:p>
            <w:pPr>
              <w:jc w:val="left"/>
            </w:pPr>
            <w:r>
              <w:rPr>
                <w:b w:val="false"/>
                <w:bCs w:val="false"/>
                <w:color w:val="1A1A1A"/>
                <w:sz w:val="19"/>
                <w:szCs w:val="19"/>
              </w:rPr>
              <w:t xml:space="preserve">Meses 4–5</w:t>
            </w:r>
          </w:p>
        </w:tc>
        <w:tc>
          <w:tcPr>
            <w:tcW w:type="dxa" w:w="7150"/>
            <w:tcMar>
              <w:top w:type="dxa" w:w="100"/>
              <w:left w:type="dxa" w:w="120"/>
              <w:bottom w:type="dxa" w:w="100"/>
              <w:right w:type="dxa" w:w="120"/>
            </w:tcMar>
            <w:vAlign w:val="center"/>
          </w:tcPr>
          <w:p>
            <w:pPr>
              <w:jc w:val="left"/>
            </w:pPr>
            <w:r>
              <w:rPr>
                <w:b w:val="false"/>
                <w:bCs w:val="false"/>
                <w:color w:val="1A1A1A"/>
                <w:sz w:val="19"/>
                <w:szCs w:val="19"/>
              </w:rPr>
              <w:t xml:space="preserve">Piloto cerrado con 50–100 vendedores en un mercado o zona específica (aprendizaje de Mercalocal: empezar hiperlocal).</w:t>
            </w:r>
          </w:p>
        </w:tc>
      </w:tr>
      <w:tr>
        <w:tc>
          <w:tcPr>
            <w:tcW w:type="dxa" w:w="220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Meses 5–7</w:t>
            </w:r>
          </w:p>
        </w:tc>
        <w:tc>
          <w:tcPr>
            <w:tcW w:type="dxa" w:w="7150"/>
            <w:shd w:fill="E9F2EF" w:val="clear"/>
            <w:tcMar>
              <w:top w:type="dxa" w:w="100"/>
              <w:left w:type="dxa" w:w="120"/>
              <w:bottom w:type="dxa" w:w="100"/>
              <w:right w:type="dxa" w:w="120"/>
            </w:tcMar>
            <w:vAlign w:val="center"/>
          </w:tcPr>
          <w:p>
            <w:pPr>
              <w:jc w:val="left"/>
            </w:pPr>
            <w:r>
              <w:rPr>
                <w:b w:val="false"/>
                <w:bCs w:val="false"/>
                <w:color w:val="1A1A1A"/>
                <w:sz w:val="19"/>
                <w:szCs w:val="19"/>
              </w:rPr>
              <w:t xml:space="preserve">Integrar cobro digital vía QR (Bre-B/Nequi/Daviplata).</w:t>
            </w:r>
          </w:p>
        </w:tc>
      </w:tr>
      <w:tr>
        <w:tc>
          <w:tcPr>
            <w:tcW w:type="dxa" w:w="2200"/>
            <w:tcMar>
              <w:top w:type="dxa" w:w="100"/>
              <w:left w:type="dxa" w:w="120"/>
              <w:bottom w:type="dxa" w:w="100"/>
              <w:right w:type="dxa" w:w="120"/>
            </w:tcMar>
            <w:vAlign w:val="center"/>
          </w:tcPr>
          <w:p>
            <w:pPr>
              <w:jc w:val="left"/>
            </w:pPr>
            <w:r>
              <w:rPr>
                <w:b w:val="false"/>
                <w:bCs w:val="false"/>
                <w:color w:val="1A1A1A"/>
                <w:sz w:val="19"/>
                <w:szCs w:val="19"/>
              </w:rPr>
              <w:t xml:space="preserve">Meses 7–12</w:t>
            </w:r>
          </w:p>
        </w:tc>
        <w:tc>
          <w:tcPr>
            <w:tcW w:type="dxa" w:w="7150"/>
            <w:tcMar>
              <w:top w:type="dxa" w:w="100"/>
              <w:left w:type="dxa" w:w="120"/>
              <w:bottom w:type="dxa" w:w="100"/>
              <w:right w:type="dxa" w:w="120"/>
            </w:tcMar>
            <w:vAlign w:val="center"/>
          </w:tcPr>
          <w:p>
            <w:pPr>
              <w:jc w:val="left"/>
            </w:pPr>
            <w:r>
              <w:rPr>
                <w:b w:val="false"/>
                <w:bCs w:val="false"/>
                <w:color w:val="1A1A1A"/>
                <w:sz w:val="19"/>
                <w:szCs w:val="19"/>
              </w:rPr>
              <w:t xml:space="preserve">Expandir geografía, introducir plan premium opcional, explorar alianza para microcrédito.</w:t>
            </w:r>
          </w:p>
        </w:tc>
      </w:tr>
    </w:tbl>
    <w:p>
      <w:pPr>
        <w:pStyle w:val="Heading1"/>
        <w:pBdr>
          <w:bottom w:val="single" w:color="1F5C4E" w:sz="6" w:space="4"/>
        </w:pBdr>
        <w:spacing w:after="160" w:before="320"/>
      </w:pPr>
      <w:r>
        <w:rPr>
          <w:b/>
          <w:bCs/>
          <w:color w:val="1F5C4E"/>
          <w:sz w:val="28"/>
          <w:szCs w:val="28"/>
        </w:rPr>
        <w:t xml:space="preserve">10. Próximos pasos inmediatos</w:t>
      </w:r>
    </w:p>
    <w:p>
      <w:pPr>
        <w:pStyle w:val="ListParagraph"/>
        <w:numPr>
          <w:ilvl w:val="0"/>
          <w:numId w:val="2"/>
        </w:numPr>
        <w:spacing w:after="60" w:line="280"/>
      </w:pPr>
      <w:r>
        <w:rPr>
          <w:sz w:val="21"/>
          <w:szCs w:val="21"/>
        </w:rPr>
        <w:t xml:space="preserve">Definir la zona o mercado piloto concreto (ej. una plaza de mercado o gremio específico en una ciudad) para no partir de un público abstracto.</w:t>
      </w:r>
    </w:p>
    <w:p>
      <w:pPr>
        <w:pStyle w:val="ListParagraph"/>
        <w:numPr>
          <w:ilvl w:val="0"/>
          <w:numId w:val="2"/>
        </w:numPr>
        <w:spacing w:after="60" w:line="280"/>
      </w:pPr>
      <w:r>
        <w:rPr>
          <w:sz w:val="21"/>
          <w:szCs w:val="21"/>
        </w:rPr>
        <w:t xml:space="preserve">Hacer 10–15 entrevistas de validación con vendedores reales antes de escribir una línea de código.</w:t>
      </w:r>
    </w:p>
    <w:p>
      <w:pPr>
        <w:pStyle w:val="ListParagraph"/>
        <w:numPr>
          <w:ilvl w:val="0"/>
          <w:numId w:val="2"/>
        </w:numPr>
        <w:spacing w:after="60" w:line="280"/>
      </w:pPr>
      <w:r>
        <w:rPr>
          <w:sz w:val="21"/>
          <w:szCs w:val="21"/>
        </w:rPr>
        <w:t xml:space="preserve">Construir un prototipo clicable (Figma) del flujo de venta + fiado y probarlo en campo.</w:t>
      </w:r>
    </w:p>
    <w:p>
      <w:pPr>
        <w:pStyle w:val="ListParagraph"/>
        <w:numPr>
          <w:ilvl w:val="0"/>
          <w:numId w:val="2"/>
        </w:numPr>
        <w:spacing w:after="60" w:line="280"/>
      </w:pPr>
      <w:r>
        <w:rPr>
          <w:sz w:val="21"/>
          <w:szCs w:val="21"/>
        </w:rPr>
        <w:t xml:space="preserve">Confirmar con un aliado de pagos (Bold, Nequi o un banco con Bre-B) los requisitos reales de integración para cuentas personales.</w:t>
      </w:r>
    </w:p>
    <w:p>
      <w:pPr>
        <w:spacing w:after="200"/>
      </w:pPr>
    </w:p>
    <w:p>
      <w:pPr>
        <w:pBdr>
          <w:top w:val="single" w:color="CCCCCC" w:sz="4" w:space="6"/>
        </w:pBdr>
        <w:spacing w:before="100"/>
      </w:pPr>
      <w:r>
        <w:rPr>
          <w:i/>
          <w:iCs/>
          <w:color w:val="666666"/>
          <w:sz w:val="16"/>
          <w:szCs w:val="16"/>
        </w:rPr>
        <w:t xml:space="preserve">Fuentes: OCDE, Latin American Economic Outlook 2025 · PNUD · PYMNTS (2026) · Banco de la República — Bre-B · Treinta, blog comparativo 2025 · El Tiempo, cobertura Mercalocal.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2026-09-02T12:47:55.592Z</dcterms:created>
  <dcterms:modified xsi:type="dcterms:W3CDTF">2026-09-02T12:47:55.616Z</dcterms:modified>
</cp:coreProperties>
</file>

<file path=docProps/custom.xml><?xml version="1.0" encoding="utf-8"?>
<Properties xmlns="http://schemas.openxmlformats.org/officeDocument/2006/custom-properties" xmlns:vt="http://schemas.openxmlformats.org/officeDocument/2006/docPropsVTypes"/>
</file>