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tbl>
      <w:tblPr>
        <w:tblStyle w:val="Table1"/>
        <w:tblW w:w="10476.0" w:type="dxa"/>
        <w:jc w:val="left"/>
        <w:tblBorders>
          <w:bottom w:color="000000" w:space="0" w:sz="36" w:val="single"/>
          <w:insideH w:color="000000" w:space="0" w:sz="4" w:val="single"/>
        </w:tblBorders>
        <w:tblLayout w:type="fixed"/>
        <w:tblLook w:val="0400"/>
      </w:tblPr>
      <w:tblGrid>
        <w:gridCol w:w="3434"/>
        <w:gridCol w:w="7042"/>
        <w:tblGridChange w:id="0">
          <w:tblGrid>
            <w:gridCol w:w="3434"/>
            <w:gridCol w:w="7042"/>
          </w:tblGrid>
        </w:tblGridChange>
      </w:tblGrid>
      <w:tr>
        <w:trPr>
          <w:cantSplit w:val="0"/>
          <w:trHeight w:val="964" w:hRule="atLeast"/>
          <w:tblHeader w:val="0"/>
        </w:trPr>
        <w:tc>
          <w:tcPr/>
          <w:p w:rsidR="00000000" w:rsidDel="00000000" w:rsidP="00000000" w:rsidRDefault="00000000" w:rsidRPr="00000000" w14:paraId="00000002">
            <w:pPr>
              <w:jc w:val="left"/>
              <w:rPr>
                <w:rFonts w:ascii="Arial" w:cs="Arial" w:eastAsia="Arial" w:hAnsi="Arial"/>
                <w:b w:val="1"/>
                <w:bCs w:val="1"/>
                <w:i w:val="1"/>
                <w:iCs w:val="1"/>
              </w:rPr>
            </w:pPr>
            <w:r>
              <w:rPr>
                <w:rFonts w:ascii="Arial" w:cs="Arial" w:eastAsia="Arial" w:hAnsi="Arial"/>
                <w:b w:val="1"/>
                <w:bCs w:val="1"/>
                <w:i w:val="1"/>
                <w:iCs w:val="1"/>
              </w:rPr>
              <w:drawing>
                <wp:inline distB="0" distT="0" distL="0" distR="0">
                  <wp:extent cx="1989963" cy="570445"/>
                  <wp:effectExtent b="0" l="0" r="0" t="0"/>
                  <wp:docPr descr="E:\IIETA logo.jpg" id="2" name="image6.jpg"/>
                  <a:graphic>
                    <a:graphicData uri="http://schemas.openxmlformats.org/drawingml/2006/picture">
                      <pic:pic>
                        <pic:nvPicPr>
                          <pic:cNvPr descr="E:\IIETA logo.jpg" id="0" name="image6.jpg"/>
                          <pic:cNvPicPr preferRelativeResize="0"/>
                        </pic:nvPicPr>
                        <pic:blipFill>
                          <a:blip r:embed="rId7"/>
                          <a:srcRect b="0" l="0" r="0" t="0"/>
                          <a:stretch>
                            <a:fillRect/>
                          </a:stretch>
                        </pic:blipFill>
                        <pic:spPr>
                          <a:xfrm>
                            <a:off x="0" y="0"/>
                            <a:ext cx="1989963" cy="570445"/>
                          </a:xfrm>
                          <a:prstGeom prst="rect"/>
                          <a:ln/>
                        </pic:spPr>
                      </pic:pic>
                    </a:graphicData>
                  </a:graphic>
                </wp:inline>
              </w:drawing>
            </w:r>
            <w:r>
              <w:rPr>
                <w:rtl w:val="0"/>
              </w:rPr>
            </w:r>
          </w:p>
        </w:tc>
        <w:tc>
          <w:tcPr/>
          <w:p w:rsidR="00000000" w:rsidDel="00000000" w:rsidP="00000000" w:rsidRDefault="00000000" w:rsidRPr="00000000" w14:paraId="00000003">
            <w:pPr>
              <w:jc w:val="right"/>
              <w:rPr>
                <w:rFonts w:ascii="Arial" w:cs="Arial" w:eastAsia="Arial" w:hAnsi="Arial"/>
                <w:b w:val="1"/>
                <w:bCs w:val="1"/>
                <w:i w:val="1"/>
                <w:iCs w:val="1"/>
              </w:rPr>
            </w:pPr>
            <w:r>
              <w:rPr>
                <w:rFonts w:ascii="Arial" w:cs="Arial" w:eastAsia="Arial" w:hAnsi="Arial"/>
                <w:b w:val="1"/>
                <w:bCs w:val="1"/>
                <w:i w:val="1"/>
                <w:iCs w:val="1"/>
              </w:rPr>
              <mc:AlternateContent>
                <mc:Choice Requires="wpg">
                  <w:drawing>
                    <wp:inline distB="0" distT="0" distL="0" distR="0">
                      <wp:extent cx="4359275" cy="581025"/>
                      <wp:effectExtent b="0" l="0" r="0" t="0"/>
                      <wp:docPr id="1" name=""/>
                      <a:graphic>
                        <a:graphicData uri="http://schemas.microsoft.com/office/word/2010/wordprocessingShape">
                          <wps:wsp>
                            <wps:cNvSpPr/>
                            <wps:cNvPr id="2" name="Shape 2"/>
                            <wps:spPr>
                              <a:xfrm>
                                <a:off x="3171125" y="3494250"/>
                                <a:ext cx="4349750" cy="571500"/>
                              </a:xfrm>
                              <a:prstGeom prst="rect">
                                <a:avLst/>
                              </a:prstGeom>
                              <a:solidFill>
                                <a:srgbClr val="C9C9C9"/>
                              </a:solidFill>
                              <a:ln>
                                <a:noFill/>
                              </a:ln>
                            </wps:spPr>
                            <wps:txbx>
                              <w:txbxContent>
                                <w:p w:rsidR="00000000" w:rsidDel="00000000" w:rsidP="00000000" w:rsidRDefault="00000000" w:rsidRPr="00000000">
                                  <w:pPr>
                                    <w:spacing w:after="0" w:before="0" w:line="240"/>
                                    <w:ind w:left="0" w:right="0" w:firstLine="0"/>
                                    <w:jc w:val="center"/>
                                    <w:textDirection w:val="btLr"/>
                                  </w:pPr>
                                  <w:r>
                                    <w:rPr>
                                      <w:rFonts w:ascii="Arial" w:cs="Arial" w:eastAsia="Arial" w:hAnsi="Arial"/>
                                      <w:b w:val="1"/>
                                      <w:i w:val="0"/>
                                      <w:smallCaps w:val="0"/>
                                      <w:strike w:val="0"/>
                                      <w:color w:val="000000"/>
                                      <w:sz w:val="24"/>
                                      <w:vertAlign w:val="baseline"/>
                                    </w:rPr>
                                    <w:t xml:space="preserve">Review of Computer Engineering Studies</w:t>
                                  </w:r>
                                </w:p>
                                <w:p w:rsidR="00000000" w:rsidDel="00000000" w:rsidP="00000000" w:rsidRDefault="00000000" w:rsidRPr="00000000">
                                  <w:pPr>
                                    <w:spacing w:after="0" w:before="0" w:line="240"/>
                                    <w:ind w:left="0" w:right="0" w:firstLine="0"/>
                                    <w:jc w:val="center"/>
                                    <w:textDirection w:val="btLr"/>
                                  </w:pPr>
                                  <w:r>
                                    <w:rPr>
                                      <w:rFonts w:ascii="Arial" w:cs="Arial" w:eastAsia="Arial" w:hAnsi="Arial"/>
                                      <w:b w:val="1"/>
                                      <w:i w:val="0"/>
                                      <w:smallCaps w:val="0"/>
                                      <w:strike w:val="0"/>
                                      <w:color w:val="000000"/>
                                      <w:sz w:val="24"/>
                                      <w:vertAlign w:val="baseline"/>
                                    </w:rPr>
                                  </w:r>
                                  <w:r>
                                    <w:rPr>
                                      <w:rFonts w:ascii="Arial" w:cs="Arial" w:eastAsia="Arial" w:hAnsi="Arial"/>
                                      <w:b w:val="0"/>
                                      <w:i w:val="0"/>
                                      <w:smallCaps w:val="0"/>
                                      <w:strike w:val="0"/>
                                      <w:color w:val="000000"/>
                                      <w:sz w:val="16"/>
                                      <w:vertAlign w:val="baseline"/>
                                    </w:rPr>
                                    <w:t xml:space="preserve">Vol., No., Month, Year, pp. **-**</w:t>
                                  </w:r>
                                </w:p>
                                <w:p w:rsidR="00000000" w:rsidDel="00000000" w:rsidP="00000000" w:rsidRDefault="00000000" w:rsidRPr="00000000">
                                  <w:pPr>
                                    <w:spacing w:after="0" w:before="0" w:line="240"/>
                                    <w:ind w:left="0" w:right="0" w:firstLine="0"/>
                                    <w:jc w:val="both"/>
                                    <w:textDirection w:val="btLr"/>
                                  </w:pPr>
                                  <w:r>
                                    <w:rPr>
                                      <w:rFonts w:ascii="Arial" w:cs="Arial" w:eastAsia="Arial" w:hAnsi="Arial"/>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center"/>
                                    <w:textDirection w:val="btLr"/>
                                  </w:pPr>
                                  <w:r>
                                    <w:rPr>
                                      <w:rFonts w:ascii="Arial" w:cs="Arial" w:eastAsia="Arial" w:hAnsi="Arial"/>
                                      <w:b w:val="0"/>
                                      <w:i w:val="0"/>
                                      <w:smallCaps w:val="0"/>
                                      <w:strike w:val="0"/>
                                      <w:color w:val="000000"/>
                                      <w:sz w:val="10"/>
                                      <w:vertAlign w:val="baseline"/>
                                    </w:rPr>
                                  </w:r>
                                  <w:r>
                                    <w:rPr>
                                      <w:rFonts w:ascii="Arial" w:cs="Arial" w:eastAsia="Arial" w:hAnsi="Arial"/>
                                      <w:b w:val="0"/>
                                      <w:i w:val="0"/>
                                      <w:smallCaps w:val="0"/>
                                      <w:strike w:val="0"/>
                                      <w:color w:val="000000"/>
                                      <w:sz w:val="16"/>
                                      <w:vertAlign w:val="baseline"/>
                                    </w:rPr>
                                    <w:t xml:space="preserve">Journal homepage: http://iieta.org/journals/rces</w:t>
                                  </w:r>
                                </w:p>
                                <w:p w:rsidR="00000000" w:rsidDel="00000000" w:rsidP="00000000" w:rsidRDefault="00000000" w:rsidRPr="00000000">
                                  <w:pPr>
                                    <w:spacing w:after="0" w:before="0" w:line="240"/>
                                    <w:ind w:left="0" w:right="0" w:firstLine="0"/>
                                    <w:jc w:val="center"/>
                                    <w:textDirection w:val="btLr"/>
                                  </w:pPr>
                                  <w:r>
                                    <w:rPr>
                                      <w:rFonts w:ascii="Arial" w:cs="Arial" w:eastAsia="Arial" w:hAnsi="Arial"/>
                                      <w:b w:val="0"/>
                                      <w:i w:val="0"/>
                                      <w:smallCaps w:val="0"/>
                                      <w:strike w:val="0"/>
                                      <w:color w:val="000000"/>
                                      <w:sz w:val="16"/>
                                      <w:vertAlign w:val="baseline"/>
                                    </w:rPr>
                                  </w:r>
                                </w:p>
                              </w:txbxContent>
                            </wps:txbx>
                            <wps:bodyPr anchorCtr="0" anchor="t" bIns="45700" lIns="91425" spcFirstLastPara="1" rIns="91425" wrap="square" tIns="45700">
                              <a:noAutofit/>
                            </wps:bodyPr>
                          </wps:wsp>
                        </a:graphicData>
                      </a:graphic>
                    </wp:inline>
                  </w:drawing>
                </mc:Choice>
                <mc:Fallback>
                  <w:drawing>
                    <wp:inline distB="0" distT="0" distL="0" distR="0">
                      <wp:extent cx="4359275" cy="581025"/>
                      <wp:effectExtent b="0" l="0" r="0" t="0"/>
                      <wp:docPr id="1"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4359275" cy="581025"/>
                              </a:xfrm>
                              <a:prstGeom prst="rect"/>
                              <a:ln/>
                            </pic:spPr>
                          </pic:pic>
                        </a:graphicData>
                      </a:graphic>
                    </wp:inline>
                  </w:drawing>
                </mc:Fallback>
              </mc:AlternateContent>
            </w:r>
            <w:r>
              <w:rPr>
                <w:rtl w:val="0"/>
              </w:rPr>
            </w:r>
          </w:p>
        </w:tc>
      </w:tr>
    </w:tbl>
    <w:p w:rsidR="00000000" w:rsidDel="00000000" w:rsidP="00000000" w:rsidRDefault="00000000" w:rsidRPr="00000000" w14:paraId="00000004">
      <w:pPr>
        <w:tabs>
          <w:tab w:val="left" w:leader="none" w:pos="9500"/>
        </w:tabs>
        <w:jc w:val="left"/>
        <w:rPr>
          <w:rFonts w:ascii="Arial" w:cs="Arial" w:eastAsia="Arial" w:hAnsi="Arial"/>
          <w:b w:val="1"/>
          <w:bCs w:val="1"/>
          <w:i w:val="1"/>
          <w:iCs w:val="1"/>
        </w:rPr>
      </w:pPr>
      <w:r>
        <w:rPr>
          <w:rFonts w:ascii="Arial" w:cs="Arial" w:eastAsia="Arial" w:hAnsi="Arial"/>
          <w:b w:val="1"/>
          <w:bCs w:val="1"/>
          <w:i w:val="1"/>
          <w:iCs w:val="1"/>
          <w:rtl w:val="0"/>
        </w:rPr>
        <w:tab/>
      </w:r>
    </w:p>
    <w:tbl>
      <w:tblPr>
        <w:tblStyle w:val="Table2"/>
        <w:tblW w:w="10440.0" w:type="dxa"/>
        <w:jc w:val="left"/>
        <w:tblBorders>
          <w:top w:color="000000" w:space="0" w:sz="4" w:val="single"/>
          <w:bottom w:color="000000" w:space="0" w:sz="4" w:val="single"/>
          <w:insideH w:color="000000" w:space="0" w:sz="4" w:val="single"/>
          <w:insideV w:color="000000" w:space="0" w:sz="4" w:val="single"/>
        </w:tblBorders>
        <w:tblLayout w:type="fixed"/>
        <w:tblLook w:val="0400"/>
      </w:tblPr>
      <w:tblGrid>
        <w:gridCol w:w="3514"/>
        <w:gridCol w:w="271"/>
        <w:gridCol w:w="5928"/>
        <w:gridCol w:w="727"/>
        <w:tblGridChange w:id="0">
          <w:tblGrid>
            <w:gridCol w:w="3514"/>
            <w:gridCol w:w="271"/>
            <w:gridCol w:w="5928"/>
            <w:gridCol w:w="727"/>
          </w:tblGrid>
        </w:tblGridChange>
      </w:tblGrid>
      <w:tr>
        <w:trPr>
          <w:cantSplit w:val="0"/>
          <w:trHeight w:val="253" w:hRule="atLeast"/>
          <w:tblHeader w:val="0"/>
        </w:trPr>
        <w:tc>
          <w:tcPr>
            <w:gridSpan w:val="3"/>
            <w:tcBorders>
              <w:bottom w:color="000000" w:space="0" w:sz="0" w:val="nil"/>
              <w:right w:color="000000" w:space="0" w:sz="0" w:val="nil"/>
            </w:tcBorders>
          </w:tcPr>
          <w:p>
            <w:pPr>
              <w:jc w:val="left"/>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A Lightweight Git-Based Platform for Configuration Management, Versioning, and Static Topology Inference in Heterogeneous Legacy Network Infrastructures</w:t>
            </w:r>
          </w:p>
        </w:tc>
        <w:tc>
          <w:tcPr>
            <w:tcBorders>
              <w:left w:color="000000" w:space="0" w:sz="0" w:val="nil"/>
              <w:bottom w:color="000000" w:space="0" w:sz="0" w:val="nil"/>
            </w:tcBorders>
          </w:tcPr>
          <w:p w:rsidR="00000000" w:rsidDel="00000000" w:rsidP="00000000" w:rsidRDefault="00000000" w:rsidRPr="00000000" w14:paraId="00000008">
            <w:pPr>
              <w:jc w:val="left"/>
              <w:rPr>
                <w:rFonts w:ascii="Times New Roman" w:cs="Times New Roman" w:eastAsia="Times New Roman" w:hAnsi="Times New Roman"/>
                <w:b w:val="1"/>
                <w:bCs w:val="1"/>
                <w:sz w:val="24"/>
                <w:szCs w:val="24"/>
              </w:rPr>
            </w:pPr>
            <w:r>
              <w:rPr>
                <w:rtl w:val="0"/>
              </w:rPr>
            </w:r>
          </w:p>
        </w:tc>
      </w:tr>
      <w:tr>
        <w:trPr>
          <w:cantSplit w:val="0"/>
          <w:trHeight w:val="661" w:hRule="atLeast"/>
          <w:tblHeader w:val="0"/>
        </w:trPr>
        <w:tc>
          <w:tcPr>
            <w:gridSpan w:val="3"/>
            <w:tcBorders>
              <w:top w:color="000000" w:space="0" w:sz="0" w:val="nil"/>
              <w:bottom w:color="000000" w:space="0" w:sz="0" w:val="nil"/>
              <w:right w:color="000000" w:space="0" w:sz="0" w:val="nil"/>
            </w:tcBorders>
            <w:vAlign w:val="center"/>
          </w:tcPr>
          <w:p w:rsidR="00000000" w:rsidDel="00000000" w:rsidP="00000000" w:rsidRDefault="00000000" w:rsidRPr="00000000" w14:paraId="00000009">
            <w:pPr>
              <w:jc w:val="left"/>
              <w:rPr>
                <w:rFonts w:ascii="Times New Roman" w:cs="Times New Roman" w:eastAsia="Times New Roman" w:hAnsi="Times New Roman"/>
              </w:rPr>
            </w:pPr>
            <w:r>
              <w:rPr>
                <w:rtl w:val="0"/>
              </w:rPr>
            </w:r>
          </w:p>
          <w:p w:rsidR="00000000" w:rsidDel="00000000" w:rsidP="00000000" w:rsidRDefault="00000000" w:rsidRPr="00000000" w14:paraId="0000000A">
            <w:pPr>
              <w:jc w:val="left"/>
              <w:rPr>
                <w:rFonts w:ascii="Times New Roman" w:cs="Times New Roman" w:eastAsia="Times New Roman" w:hAnsi="Times New Roman"/>
              </w:rPr>
            </w:pPr>
            <w:r>
              <w:rPr>
                <w:rFonts w:ascii="Times New Roman" w:cs="Times New Roman" w:eastAsia="Times New Roman" w:hAnsi="Times New Roman"/>
                <w:sz w:val="20"/>
                <w:szCs w:val="20"/>
                <w:rtl w:val="0"/>
              </w:rPr>
              <w:t xml:space="preserve">María C. Abeledo</w:t>
            </w:r>
            <w:r>
              <w:rPr>
                <w:rFonts w:ascii="Times New Roman" w:cs="Times New Roman" w:eastAsia="Times New Roman" w:hAnsi="Times New Roman"/>
                <w:vertAlign w:val="superscript"/>
                <w:rtl w:val="0"/>
              </w:rPr>
              <w:t xml:space="preserve">1*</w:t>
            </w:r>
            <w:r>
              <w:rPr/>
              <w:drawing>
                <wp:inline distB="0" distT="0" distL="0" distR="0">
                  <wp:extent cx="107950" cy="107950"/>
                  <wp:effectExtent b="0" l="0" r="0" t="0"/>
                  <wp:docPr id="200"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107950" cy="107950"/>
                          </a:xfrm>
                          <a:prstGeom prst="rect"/>
                          <a:ln/>
                        </pic:spPr>
                      </pic:pic>
                    </a:graphicData>
                  </a:graphic>
                </wp:inline>
              </w:drawing>
            </w:r>
            <w:r>
              <w:rPr>
                <w:rFonts w:ascii="Times New Roman" w:cs="Times New Roman" w:eastAsia="Times New Roman" w:hAnsi="Times New Roman"/>
                <w:sz w:val="20"/>
                <w:szCs w:val="20"/>
                <w:rtl w:val="0"/>
              </w:rPr>
              <w:t xml:space="preserve">, Daniel A. Priano</w:t>
            </w:r>
            <w:r>
              <w:rPr>
                <w:rFonts w:ascii="Times New Roman" w:cs="Times New Roman" w:eastAsia="Times New Roman" w:hAnsi="Times New Roman"/>
                <w:vertAlign w:val="superscript"/>
                <w:rtl w:val="0"/>
              </w:rPr>
              <w:t xml:space="preserve">1</w:t>
            </w:r>
            <w:r>
              <w:rPr/>
              <w:drawing>
                <wp:inline distB="0" distT="0" distL="0" distR="0">
                  <wp:extent cx="107950" cy="107950"/>
                  <wp:effectExtent b="0" l="0" r="0" t="0"/>
                  <wp:docPr id="201"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107950" cy="107950"/>
                          </a:xfrm>
                          <a:prstGeom prst="rect"/>
                          <a:ln/>
                        </pic:spPr>
                      </pic:pic>
                    </a:graphicData>
                  </a:graphic>
                </wp:inline>
              </w:drawing>
            </w:r>
            <w:r>
              <w:rPr>
                <w:rFonts w:ascii="Times New Roman" w:cs="Times New Roman" w:eastAsia="Times New Roman" w:hAnsi="Times New Roman"/>
                <w:sz w:val="20"/>
                <w:szCs w:val="20"/>
                <w:rtl w:val="0"/>
              </w:rPr>
              <w:t xml:space="preserve">, Matías A. Marsicano</w:t>
            </w:r>
            <w:r>
              <w:rPr>
                <w:rFonts w:ascii="Times New Roman" w:cs="Times New Roman" w:eastAsia="Times New Roman" w:hAnsi="Times New Roman"/>
                <w:vertAlign w:val="superscript"/>
                <w:rtl w:val="0"/>
              </w:rPr>
              <w:t xml:space="preserve">1</w:t>
            </w:r>
            <w:r>
              <w:rPr/>
              <w:drawing>
                <wp:inline distB="0" distT="0" distL="0" distR="0">
                  <wp:extent cx="107950" cy="107950"/>
                  <wp:effectExtent b="0" l="0" r="0" t="0"/>
                  <wp:docPr id="202"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107950" cy="107950"/>
                          </a:xfrm>
                          <a:prstGeom prst="rect"/>
                          <a:ln/>
                        </pic:spPr>
                      </pic:pic>
                    </a:graphicData>
                  </a:graphic>
                </wp:inline>
              </w:drawing>
            </w:r>
            <w:r>
              <w:rPr>
                <w:rFonts w:ascii="Times New Roman" w:cs="Times New Roman" w:eastAsia="Times New Roman" w:hAnsi="Times New Roman"/>
                <w:sz w:val="20"/>
                <w:szCs w:val="20"/>
                <w:rtl w:val="0"/>
              </w:rPr>
              <w:t xml:space="preserve">, Ximena Salazar Gallardo</w:t>
            </w:r>
            <w:r>
              <w:rPr>
                <w:rFonts w:ascii="Times New Roman" w:cs="Times New Roman" w:eastAsia="Times New Roman" w:hAnsi="Times New Roman"/>
                <w:vertAlign w:val="superscript"/>
                <w:rtl w:val="0"/>
              </w:rPr>
              <w:t xml:space="preserve">1</w:t>
            </w:r>
            <w:r>
              <w:rPr/>
              <w:drawing>
                <wp:inline distB="0" distT="0" distL="0" distR="0">
                  <wp:extent cx="107950" cy="107950"/>
                  <wp:effectExtent b="0" l="0" r="0" t="0"/>
                  <wp:docPr id="203"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107950" cy="107950"/>
                          </a:xfrm>
                          <a:prstGeom prst="rect"/>
                          <a:ln/>
                        </pic:spPr>
                      </pic:pic>
                    </a:graphicData>
                  </a:graphic>
                </wp:inline>
              </w:drawing>
            </w:r>
            <w:r>
              <w:rPr>
                <w:rFonts w:ascii="Times New Roman" w:cs="Times New Roman" w:eastAsia="Times New Roman" w:hAnsi="Times New Roman"/>
                <w:sz w:val="20"/>
                <w:szCs w:val="20"/>
                <w:rtl w:val="0"/>
              </w:rPr>
              <w:t xml:space="preserve">, Alejandro J. Guevara</w:t>
            </w:r>
            <w:r>
              <w:rPr>
                <w:rFonts w:ascii="Times New Roman" w:cs="Times New Roman" w:eastAsia="Times New Roman" w:hAnsi="Times New Roman"/>
                <w:vertAlign w:val="superscript"/>
                <w:rtl w:val="0"/>
              </w:rPr>
              <w:t xml:space="preserve">1</w:t>
            </w:r>
            <w:r>
              <w:rPr/>
              <w:drawing>
                <wp:inline distB="0" distT="0" distL="0" distR="0">
                  <wp:extent cx="107950" cy="107950"/>
                  <wp:effectExtent b="0" l="0" r="0" t="0"/>
                  <wp:docPr id="204"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107950" cy="107950"/>
                          </a:xfrm>
                          <a:prstGeom prst="rect"/>
                          <a:ln/>
                        </pic:spPr>
                      </pic:pic>
                    </a:graphicData>
                  </a:graphic>
                </wp:inline>
              </w:drawing>
            </w:r>
            <w:r>
              <w:rPr>
                <w:rFonts w:ascii="Times New Roman" w:cs="Times New Roman" w:eastAsia="Times New Roman" w:hAnsi="Times New Roman"/>
                <w:sz w:val="20"/>
                <w:szCs w:val="20"/>
                <w:rtl w:val="0"/>
              </w:rPr>
              <w:t xml:space="preserve">, Cristian C. Villafañez</w:t>
            </w:r>
            <w:r>
              <w:rPr>
                <w:rFonts w:ascii="Times New Roman" w:cs="Times New Roman" w:eastAsia="Times New Roman" w:hAnsi="Times New Roman"/>
                <w:vertAlign w:val="superscript"/>
                <w:rtl w:val="0"/>
              </w:rPr>
              <w:t xml:space="preserve">1</w:t>
            </w:r>
            <w:r>
              <w:rPr/>
              <w:drawing>
                <wp:inline distB="0" distT="0" distL="0" distR="0">
                  <wp:extent cx="107950" cy="107950"/>
                  <wp:effectExtent b="0" l="0" r="0" t="0"/>
                  <wp:docPr id="205"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107950" cy="107950"/>
                          </a:xfrm>
                          <a:prstGeom prst="rect"/>
                          <a:ln/>
                        </pic:spPr>
                      </pic:pic>
                    </a:graphicData>
                  </a:graphic>
                </wp:inline>
              </w:drawing>
            </w:r>
            <w:r>
              <w:rPr>
                <w:rFonts w:ascii="Times New Roman" w:cs="Times New Roman" w:eastAsia="Times New Roman" w:hAnsi="Times New Roman"/>
                <w:vertAlign w:val="superscript"/>
                <w:rtl w:val="0"/>
              </w:rPr>
              <w:t xml:space="preserve"> </w:t>
            </w:r>
            <w:r>
              <w:rPr>
                <w:rtl w:val="0"/>
              </w:rPr>
            </w:r>
          </w:p>
          <w:p w:rsidR="00000000" w:rsidDel="00000000" w:rsidP="00000000" w:rsidRDefault="00000000" w:rsidRPr="00000000" w14:paraId="0000000B">
            <w:pPr>
              <w:jc w:val="left"/>
              <w:rPr>
                <w:rFonts w:ascii="Times New Roman" w:cs="Times New Roman" w:eastAsia="Times New Roman" w:hAnsi="Times New Roman"/>
                <w:b w:val="1"/>
                <w:bCs w:val="1"/>
              </w:rPr>
            </w:pPr>
            <w:r>
              <w:rPr>
                <w:rtl w:val="0"/>
              </w:rPr>
            </w:r>
          </w:p>
        </w:tc>
        <w:tc>
          <w:tcPr>
            <w:tcBorders>
              <w:top w:color="000000" w:space="0" w:sz="0" w:val="nil"/>
              <w:left w:color="000000" w:space="0" w:sz="0" w:val="nil"/>
              <w:bottom w:color="000000" w:space="0" w:sz="0" w:val="nil"/>
            </w:tcBorders>
          </w:tcPr>
          <w:p w:rsidR="00000000" w:rsidDel="00000000" w:rsidP="00000000" w:rsidRDefault="00000000" w:rsidRPr="00000000" w14:paraId="0000000E">
            <w:pPr>
              <w:jc w:val="left"/>
              <w:rPr>
                <w:rFonts w:ascii="Times New Roman" w:cs="Times New Roman" w:eastAsia="Times New Roman" w:hAnsi="Times New Roman"/>
              </w:rPr>
            </w:pPr>
            <w:r>
              <w:rPr>
                <w:rtl w:val="0"/>
              </w:rPr>
            </w:r>
          </w:p>
        </w:tc>
      </w:tr>
      <w:tr>
        <w:trPr>
          <w:cantSplit w:val="0"/>
          <w:trHeight w:val="661" w:hRule="atLeast"/>
          <w:tblHeader w:val="0"/>
        </w:trPr>
        <w:tc>
          <w:tcPr>
            <w:gridSpan w:val="4"/>
            <w:tcBorders>
              <w:top w:color="000000" w:space="0" w:sz="0" w:val="nil"/>
              <w:bottom w:color="000000" w:space="0" w:sz="4" w:val="single"/>
            </w:tcBorders>
          </w:tcPr>
          <w:p w:rsidR="00000000" w:rsidDel="00000000" w:rsidP="00000000" w:rsidRDefault="00000000" w:rsidRPr="00000000" w14:paraId="0000000F">
            <w:pPr>
              <w:jc w:val="left"/>
              <w:rPr>
                <w:rFonts w:ascii="Times New Roman" w:cs="Times New Roman" w:eastAsia="Times New Roman" w:hAnsi="Times New Roman"/>
              </w:rPr>
            </w:pPr>
            <w:r>
              <w:rPr>
                <w:rFonts w:ascii="Times New Roman" w:cs="Times New Roman" w:eastAsia="Times New Roman" w:hAnsi="Times New Roman"/>
                <w:vertAlign w:val="superscript"/>
                <w:rtl w:val="0"/>
              </w:rPr>
              <w:t xml:space="preserve">1 </w:t>
            </w:r>
            <w:r>
              <w:rPr>
                <w:rFonts w:ascii="Times New Roman" w:cs="Times New Roman" w:eastAsia="Times New Roman" w:hAnsi="Times New Roman"/>
                <w:sz w:val="20"/>
                <w:szCs w:val="20"/>
                <w:rtl w:val="0"/>
              </w:rPr>
              <w:t xml:space="preserve">Research and Development Center in Computer Science (CIDI), National University of San Martín (UNSAM), San Martín, Argentina</w:t>
            </w:r>
          </w:p>
          <w:p w:rsidR="00000000" w:rsidDel="00000000" w:rsidP="00000000" w:rsidRDefault="00000000" w:rsidRPr="00000000" w14:paraId="00000012">
            <w:pPr>
              <w:jc w:val="left"/>
              <w:rPr>
                <w:rFonts w:ascii="Times New Roman" w:cs="Times New Roman" w:eastAsia="Times New Roman" w:hAnsi="Times New Roman"/>
              </w:rPr>
            </w:pPr>
            <w:r>
              <w:rPr>
                <w:rtl w:val="0"/>
              </w:rPr>
            </w:r>
          </w:p>
          <w:p w:rsidR="00000000" w:rsidDel="00000000" w:rsidP="00000000" w:rsidRDefault="00000000" w:rsidRPr="00000000" w14:paraId="00000013">
            <w:pPr>
              <w:jc w:val="left"/>
              <w:rPr>
                <w:rFonts w:ascii="Times New Roman" w:cs="Times New Roman" w:eastAsia="Times New Roman" w:hAnsi="Times New Roman"/>
                <w:vertAlign w:val="superscript"/>
              </w:rPr>
            </w:pPr>
            <w:r>
              <w:rPr>
                <w:rFonts w:ascii="Times New Roman" w:cs="Times New Roman" w:eastAsia="Times New Roman" w:hAnsi="Times New Roman"/>
                <w:rtl w:val="0"/>
              </w:rPr>
              <w:t xml:space="preserve">Corresponding Author Email:</w:t>
            </w:r>
            <w:r>
              <w:rPr>
                <w:rFonts w:ascii="Times New Roman" w:cs="Times New Roman" w:eastAsia="Times New Roman" w:hAnsi="Times New Roman"/>
                <w:sz w:val="20"/>
                <w:szCs w:val="20"/>
                <w:rtl w:val="0"/>
              </w:rPr>
              <w:t xml:space="preserve"> mabeledo@unsam.edu.ar</w:t>
            </w:r>
          </w:p>
        </w:tc>
      </w:tr>
      <w:tr>
        <w:trPr>
          <w:cantSplit w:val="0"/>
          <w:trHeight w:val="152" w:hRule="atLeast"/>
          <w:tblHeader w:val="0"/>
        </w:trPr>
        <w:tc>
          <w:tcPr>
            <w:tcBorders>
              <w:left w:color="000000" w:space="0" w:sz="0" w:val="nil"/>
              <w:bottom w:color="000000" w:space="0" w:sz="4" w:val="single"/>
              <w:right w:color="000000" w:space="0" w:sz="0" w:val="nil"/>
            </w:tcBorders>
            <w:vAlign w:val="center"/>
          </w:tcPr>
          <w:p w:rsidR="00000000" w:rsidDel="00000000" w:rsidP="00000000" w:rsidRDefault="00000000" w:rsidRPr="00000000" w14:paraId="00000017">
            <w:pPr>
              <w:jc w:val="left"/>
              <w:rPr>
                <w:rFonts w:ascii="Times New Roman" w:cs="Times New Roman" w:eastAsia="Times New Roman" w:hAnsi="Times New Roman"/>
                <w:b w:val="1"/>
                <w:bCs w:val="1"/>
              </w:rPr>
            </w:pPr>
            <w:r>
              <w:rPr>
                <w:rtl w:val="0"/>
              </w:rPr>
            </w:r>
          </w:p>
          <w:p w:rsidR="00000000" w:rsidDel="00000000" w:rsidP="00000000" w:rsidRDefault="00000000" w:rsidRPr="00000000" w14:paraId="00000018">
            <w:pPr>
              <w:jc w:val="left"/>
              <w:rPr>
                <w:rFonts w:ascii="Times New Roman" w:cs="Times New Roman" w:eastAsia="Times New Roman" w:hAnsi="Times New Roman"/>
                <w:b w:val="1"/>
                <w:bCs w:val="1"/>
              </w:rPr>
            </w:pPr>
            <w:r>
              <w:rPr>
                <w:rFonts w:ascii="Times New Roman" w:cs="Times New Roman" w:eastAsia="Times New Roman" w:hAnsi="Times New Roman"/>
                <w:rtl w:val="0"/>
              </w:rPr>
              <w:t xml:space="preserve">https://doi.org/10.18280/rces.xxxxxx</w:t>
            </w:r>
            <w:r>
              <w:rPr>
                <w:rtl w:val="0"/>
              </w:rPr>
            </w:r>
          </w:p>
        </w:tc>
        <w:tc>
          <w:tcPr>
            <w:tcBorders>
              <w:left w:color="000000" w:space="0" w:sz="0" w:val="nil"/>
              <w:bottom w:color="000000" w:space="0" w:sz="0" w:val="nil"/>
              <w:right w:color="000000" w:space="0" w:sz="0" w:val="nil"/>
            </w:tcBorders>
          </w:tcPr>
          <w:p w:rsidR="00000000" w:rsidDel="00000000" w:rsidP="00000000" w:rsidRDefault="00000000" w:rsidRPr="00000000" w14:paraId="00000019">
            <w:pPr>
              <w:jc w:val="center"/>
              <w:rPr>
                <w:rFonts w:ascii="Times New Roman" w:cs="Times New Roman" w:eastAsia="Times New Roman" w:hAnsi="Times New Roman"/>
                <w:b w:val="1"/>
                <w:bCs w:val="1"/>
              </w:rPr>
            </w:pPr>
            <w:r>
              <w:rPr>
                <w:rtl w:val="0"/>
              </w:rPr>
            </w:r>
          </w:p>
        </w:tc>
        <w:tc>
          <w:tcPr>
            <w:gridSpan w:val="2"/>
            <w:tcBorders>
              <w:left w:color="000000" w:space="0" w:sz="0" w:val="nil"/>
              <w:bottom w:color="000000" w:space="0" w:sz="4" w:val="single"/>
              <w:right w:color="000000" w:space="0" w:sz="0" w:val="nil"/>
            </w:tcBorders>
            <w:vAlign w:val="center"/>
          </w:tcPr>
          <w:p w:rsidR="00000000" w:rsidDel="00000000" w:rsidP="00000000" w:rsidRDefault="00000000" w:rsidRPr="00000000" w14:paraId="0000001A">
            <w:pPr>
              <w:jc w:val="left"/>
              <w:rPr>
                <w:rFonts w:ascii="Times New Roman" w:cs="Times New Roman" w:eastAsia="Times New Roman" w:hAnsi="Times New Roman"/>
                <w:b w:val="1"/>
                <w:bCs w:val="1"/>
              </w:rPr>
            </w:pPr>
            <w:r>
              <w:rPr>
                <w:rtl w:val="0"/>
              </w:rPr>
            </w:r>
          </w:p>
          <w:p w:rsidR="00000000" w:rsidDel="00000000" w:rsidP="00000000" w:rsidRDefault="00000000" w:rsidRPr="00000000" w14:paraId="0000001B">
            <w:pPr>
              <w:jc w:val="left"/>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ABSTRACT</w:t>
            </w:r>
          </w:p>
        </w:tc>
      </w:tr>
      <w:tr>
        <w:trPr>
          <w:cantSplit w:val="0"/>
          <w:trHeight w:val="152" w:hRule="atLeast"/>
          <w:tblHeader w:val="0"/>
        </w:trPr>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001D">
            <w:pPr>
              <w:jc w:val="left"/>
              <w:rPr>
                <w:rFonts w:ascii="Times New Roman" w:cs="Times New Roman" w:eastAsia="Times New Roman" w:hAnsi="Times New Roman"/>
                <w:b w:val="1"/>
                <w:bCs w:val="1"/>
              </w:rPr>
            </w:pPr>
            <w:r>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E">
            <w:pPr>
              <w:jc w:val="center"/>
              <w:rPr>
                <w:rFonts w:ascii="Times New Roman" w:cs="Times New Roman" w:eastAsia="Times New Roman" w:hAnsi="Times New Roman"/>
                <w:b w:val="1"/>
                <w:bCs w:val="1"/>
              </w:rPr>
            </w:pPr>
            <w:r>
              <w:rPr>
                <w:rtl w:val="0"/>
              </w:rPr>
            </w:r>
          </w:p>
        </w:tc>
        <w:tc>
          <w:tcPr>
            <w:gridSpan w:val="2"/>
            <w:tcBorders>
              <w:left w:color="000000" w:space="0" w:sz="0" w:val="nil"/>
              <w:bottom w:color="000000" w:space="0" w:sz="0" w:val="nil"/>
              <w:right w:color="000000" w:space="0" w:sz="0" w:val="nil"/>
            </w:tcBorders>
            <w:vAlign w:val="center"/>
          </w:tcPr>
          <w:p w:rsidR="00000000" w:rsidDel="00000000" w:rsidP="00000000" w:rsidRDefault="00000000" w:rsidRPr="00000000" w14:paraId="0000001F">
            <w:pPr>
              <w:jc w:val="left"/>
              <w:rPr>
                <w:rFonts w:ascii="Times New Roman" w:cs="Times New Roman" w:eastAsia="Times New Roman" w:hAnsi="Times New Roman"/>
                <w:b w:val="1"/>
                <w:bCs w:val="1"/>
              </w:rPr>
            </w:pPr>
            <w:r>
              <w:rPr>
                <w:rtl w:val="0"/>
              </w:rPr>
            </w:r>
          </w:p>
        </w:tc>
      </w:tr>
      <w:tr>
        <w:trPr>
          <w:cantSplit w:val="0"/>
          <w:trHeight w:val="441" w:hRule="atLeast"/>
          <w:tblHeader w:val="0"/>
        </w:trPr>
        <w:tc>
          <w:tcPr>
            <w:tcBorders>
              <w:top w:color="000000" w:space="0" w:sz="0" w:val="nil"/>
              <w:right w:color="000000" w:space="0" w:sz="0" w:val="nil"/>
            </w:tcBorders>
          </w:tcPr>
          <w:p w:rsidR="00000000" w:rsidDel="00000000" w:rsidP="00000000" w:rsidRDefault="00000000" w:rsidRPr="00000000" w14:paraId="00000021">
            <w:pPr>
              <w:jc w:val="left"/>
              <w:rPr>
                <w:rFonts w:ascii="Times New Roman" w:cs="Times New Roman" w:eastAsia="Times New Roman" w:hAnsi="Times New Roman"/>
              </w:rPr>
            </w:pPr>
            <w:r>
              <w:rPr>
                <w:rFonts w:ascii="Times New Roman" w:cs="Times New Roman" w:eastAsia="Times New Roman" w:hAnsi="Times New Roman"/>
                <w:b w:val="1"/>
                <w:bCs w:val="1"/>
                <w:rtl w:val="0"/>
              </w:rPr>
              <w:t xml:space="preserve">Received: </w:t>
            </w:r>
            <w:r>
              <w:rPr>
                <w:rtl w:val="0"/>
              </w:rPr>
            </w:r>
          </w:p>
          <w:p w:rsidR="00000000" w:rsidDel="00000000" w:rsidP="00000000" w:rsidRDefault="00000000" w:rsidRPr="00000000" w14:paraId="00000022">
            <w:pPr>
              <w:jc w:val="left"/>
              <w:rPr>
                <w:rFonts w:ascii="Times New Roman" w:cs="Times New Roman" w:eastAsia="Times New Roman" w:hAnsi="Times New Roman"/>
                <w:sz w:val="18"/>
                <w:szCs w:val="18"/>
              </w:rPr>
            </w:pPr>
            <w:r>
              <w:rPr>
                <w:rFonts w:ascii="Times New Roman" w:cs="Times New Roman" w:eastAsia="Times New Roman" w:hAnsi="Times New Roman"/>
                <w:b w:val="1"/>
                <w:bCs w:val="1"/>
                <w:rtl w:val="0"/>
              </w:rPr>
              <w:t xml:space="preserve">Accepted: </w:t>
            </w:r>
            <w:r>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3">
            <w:pPr>
              <w:rPr>
                <w:rFonts w:ascii="Times New Roman" w:cs="Times New Roman" w:eastAsia="Times New Roman" w:hAnsi="Times New Roman"/>
                <w:sz w:val="18"/>
                <w:szCs w:val="18"/>
              </w:rPr>
            </w:pPr>
            <w:r>
              <w:rPr>
                <w:rtl w:val="0"/>
              </w:rPr>
            </w:r>
          </w:p>
        </w:tc>
        <w:tc>
          <w:tcPr>
            <w:gridSpan w:val="2"/>
            <w:vMerge w:val="restart"/>
            <w:tcBorders>
              <w:top w:color="000000" w:space="0" w:sz="0" w:val="nil"/>
              <w:left w:color="000000" w:space="0" w:sz="0" w:val="nil"/>
            </w:tcBorders>
          </w:tcPr>
          <w:p>
            <w:pPr>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In institutional and educational network infrastructures, the coexistence of equipment from multiple generations and vendors poses critical challenges for administration, operational continuity, and configuration auditing. Legacy devices impose constraints that standard industry platforms do not contemplate: obsolete cryptographic protocols, non-standardized interactive authentication mechanisms, restrictive management consoles, and the absence of persistent neighbor-discovery protocols (LLDP/CDP) in the saved configuration. This paper presents the design, architecture, and evaluation of an integral Network Configuration Management (NCM) platform developed within the Network Automation Project III. The solution implements an automated, transactional backup workflow over Git; a granular syntactic comparison engine (side-by-side diffs) with volatile-parameter filtering; a Layer-2/Layer-3 topology inference algorithm based on static configuration analysis, whose inferred links are classified into transparent evidentiary tiers rather than presented as a single undifferentiated map; and a staged-diagnosis scheme with credential quarantine for the active protection of the infrastructure. A hardware simulator (digital twin) reproduces the behavioral anomalies of real legacy devices, allowing the software to be certified without operational risk. Field observations from the pilot deployment indicate a reduction of per-device backup time from 5-15 minutes to 15-45 seconds, full-network unattended backup in under 4 minutes, a mean time to recovery below 2 minutes, and a fully auditable configuration history with no false-positive commits observed. The engineering rationale for a purpose-built solution over reference tools such as Oxidized, the operational constraints assumed - including the single-site, log-derived nature of this evaluation - and future lines of work are also discussed.</w:t>
            </w:r>
          </w:p>
        </w:tc>
      </w:tr>
      <w:tr>
        <w:trPr>
          <w:cantSplit w:val="0"/>
          <w:trHeight w:val="1253" w:hRule="atLeast"/>
          <w:tblHeader w:val="0"/>
        </w:trPr>
        <w:tc>
          <w:tcPr>
            <w:tcBorders>
              <w:right w:color="000000" w:space="0" w:sz="0" w:val="nil"/>
            </w:tcBorders>
          </w:tcPr>
          <w:p w:rsidR="00000000" w:rsidDel="00000000" w:rsidP="00000000" w:rsidRDefault="00000000" w:rsidRPr="00000000" w14:paraId="00000026">
            <w:pPr>
              <w:jc w:val="left"/>
              <w:rPr>
                <w:rFonts w:ascii="Times New Roman" w:cs="Times New Roman" w:eastAsia="Times New Roman" w:hAnsi="Times New Roman"/>
                <w:b w:val="1"/>
                <w:bCs w:val="1"/>
                <w:i w:val="1"/>
                <w:iCs w:val="1"/>
                <w:sz w:val="18"/>
                <w:szCs w:val="18"/>
              </w:rPr>
            </w:pPr>
            <w:r>
              <w:rPr>
                <w:rtl w:val="0"/>
              </w:rPr>
            </w:r>
          </w:p>
          <w:p w:rsidR="00000000" w:rsidDel="00000000" w:rsidP="00000000" w:rsidRDefault="00000000" w:rsidRPr="00000000" w14:paraId="00000027">
            <w:pPr>
              <w:jc w:val="left"/>
              <w:rPr>
                <w:rFonts w:ascii="Times New Roman" w:cs="Times New Roman" w:eastAsia="Times New Roman" w:hAnsi="Times New Roman"/>
                <w:b w:val="1"/>
                <w:bCs w:val="1"/>
                <w:i w:val="1"/>
                <w:iCs w:val="1"/>
                <w:sz w:val="18"/>
                <w:szCs w:val="18"/>
              </w:rPr>
            </w:pPr>
            <w:r>
              <w:rPr>
                <w:rFonts w:ascii="Times New Roman" w:cs="Times New Roman" w:eastAsia="Times New Roman" w:hAnsi="Times New Roman"/>
                <w:b w:val="1"/>
                <w:bCs w:val="1"/>
                <w:i w:val="1"/>
                <w:iCs w:val="1"/>
                <w:rtl w:val="0"/>
              </w:rPr>
              <w:t xml:space="preserve">Keywords:</w:t>
            </w:r>
            <w:r>
              <w:rPr>
                <w:rtl w:val="0"/>
              </w:rPr>
            </w:r>
          </w:p>
          <w:p w:rsidR="00000000" w:rsidDel="00000000" w:rsidP="00000000" w:rsidRDefault="00000000" w:rsidRPr="00000000" w14:paraId="00000028">
            <w:pPr>
              <w:rPr>
                <w:rFonts w:ascii="Times New Roman" w:cs="Times New Roman" w:eastAsia="Times New Roman" w:hAnsi="Times New Roman"/>
                <w:i w:val="1"/>
                <w:iCs w:val="1"/>
                <w:sz w:val="18"/>
                <w:szCs w:val="18"/>
              </w:rPr>
            </w:pPr>
            <w:r>
              <w:rPr>
                <w:rFonts w:ascii="Times New Roman" w:cs="Times New Roman" w:eastAsia="Times New Roman" w:hAnsi="Times New Roman"/>
                <w:i w:val="1"/>
                <w:iCs w:val="1"/>
                <w:sz w:val="18"/>
                <w:szCs w:val="18"/>
                <w:rtl w:val="0"/>
              </w:rPr>
              <w:t xml:space="preserve">configuration versioning, Git, legacy network devices, network automation, network configuration management, SSH, topology inference, digital twin</w:t>
            </w:r>
          </w:p>
          <w:p w:rsidR="00000000" w:rsidDel="00000000" w:rsidP="00000000" w:rsidRDefault="00000000" w:rsidRPr="00000000" w14:paraId="00000029">
            <w:pPr>
              <w:rPr>
                <w:rFonts w:ascii="Times New Roman" w:cs="Times New Roman" w:eastAsia="Times New Roman" w:hAnsi="Times New Roman"/>
                <w:i w:val="1"/>
                <w:iCs w:val="1"/>
              </w:rPr>
            </w:pPr>
            <w:r>
              <w:rPr>
                <w:rFonts w:ascii="Times New Roman" w:cs="Times New Roman" w:eastAsia="Times New Roman" w:hAnsi="Times New Roman"/>
                <w:i w:val="1"/>
                <w:iCs w:val="1"/>
                <w:sz w:val="18"/>
                <w:szCs w:val="18"/>
                <w:rtl w:val="0"/>
              </w:rPr>
              <w:t xml:space="preserve"/>
            </w:r>
            <w:r>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jc w:val="center"/>
              <w:rPr>
                <w:rFonts w:ascii="Arial" w:cs="Arial" w:eastAsia="Arial" w:hAnsi="Arial"/>
                <w:b w:val="1"/>
                <w:bCs w:val="1"/>
                <w:i w:val="1"/>
                <w:iCs w:val="1"/>
              </w:rPr>
            </w:pPr>
            <w:r>
              <w:rPr>
                <w:rtl w:val="0"/>
              </w:rPr>
            </w:r>
          </w:p>
        </w:tc>
        <w:tc>
          <w:tcPr>
            <w:gridSpan w:val="2"/>
            <w:vMerge w:val="continue"/>
            <w:tcBorders>
              <w:top w:color="000000" w:space="0" w:sz="0" w:val="nil"/>
              <w:left w:color="000000" w:space="0" w:sz="0" w:val="nil"/>
            </w:tcBorders>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1"/>
                <w:iCs w:val="1"/>
              </w:rPr>
            </w:pPr>
            <w:r>
              <w:rPr>
                <w:rtl w:val="0"/>
              </w:rPr>
            </w:r>
          </w:p>
        </w:tc>
      </w:tr>
    </w:tbl>
    <w:p w:rsidR="00000000" w:rsidDel="00000000" w:rsidP="00000000" w:rsidRDefault="00000000" w:rsidRPr="00000000" w14:paraId="0000002D">
      <w:pPr>
        <w:rPr/>
      </w:pPr>
      <w:r>
        <w:rPr>
          <w:rtl w:val="0"/>
        </w:rPr>
      </w:r>
    </w:p>
    <w:p w:rsidR="00000000" w:rsidDel="00000000" w:rsidP="00000000" w:rsidRDefault="00000000" w:rsidRPr="00000000" w14:paraId="0000002E">
      <w:pPr>
        <w:rPr>
          <w:b w:val="1"/>
          <w:bCs w:val="1"/>
          <w:sz w:val="24"/>
          <w:szCs w:val="24"/>
        </w:rPr>
        <w:sectPr>
          <w:footerReference r:id="rId10" w:type="default"/>
          <w:pgSz w:h="16817" w:w="11879" w:orient="portrait"/>
          <w:pgMar w:bottom="1138" w:top="630" w:left="720" w:right="719" w:header="737" w:footer="737"/>
          <w:pgNumType w:start="1"/>
          <w:titlePg w:val="1"/>
        </w:sectPr>
      </w:pPr>
      <w:r>
        <w:rPr>
          <w:rtl w:val="0"/>
        </w:rPr>
      </w:r>
    </w:p>
    <w:p>
      <w:pPr>
        <w:keepNext w:val="1"/>
        <w:jc w:val="left"/>
        <w:rPr>
          <w:b w:val="1"/>
          <w:bCs w:val="1"/>
        </w:rPr>
      </w:pPr>
      <w:r>
        <w:rPr>
          <w:rFonts w:ascii="Times New Roman" w:cs="Times New Roman" w:eastAsia="Times New Roman" w:hAnsi="Times New Roman"/>
          <w:b w:val="1"/>
          <w:bCs w:val="1"/>
          <w:sz w:val="20"/>
          <w:szCs w:val="20"/>
          <w:rtl w:val="0"/>
        </w:rPr>
        <w:t xml:space="preserve">1. INTRODUCTION</w:t>
      </w:r>
    </w:p>
    <w:p>
      <w:pPr>
        <w:rPr/>
      </w:pPr>
    </w:p>
    <w:p>
      <w:pPr>
        <w:ind w:firstLine="202"/>
        <w:rPr/>
      </w:pPr>
      <w:r>
        <w:rPr>
          <w:rFonts w:ascii="Times New Roman" w:cs="Times New Roman" w:eastAsia="Times New Roman" w:hAnsi="Times New Roman"/>
          <w:sz w:val="20"/>
          <w:szCs w:val="20"/>
          <w:rtl w:val="0"/>
        </w:rPr>
        <w:t xml:space="preserve">In recent years, network automation and infrastructure-as-code (IaC) practices have profoundly transformed the administration of data networks [10, 14, 22]. However, most of the tooling that supports this transformation implicitly assumes reasonably modern equipment: standardized SSH stacks, non-interactive command execution, and machine-readable management interfaces such as NETCONF [11]. Institutional and educational networks rarely satisfy these assumptions. Their infrastructure typically accumulates equipment across successive expansion stages, resulting in a heterogeneous park in which high-density core switches coexist with access-layer devices that are one or two decades old.</w:t>
      </w:r>
    </w:p>
    <w:p>
      <w:pPr>
        <w:ind w:firstLine="202"/>
        <w:rPr/>
      </w:pPr>
      <w:r>
        <w:rPr>
          <w:rFonts w:ascii="Times New Roman" w:cs="Times New Roman" w:eastAsia="Times New Roman" w:hAnsi="Times New Roman"/>
          <w:sz w:val="20"/>
          <w:szCs w:val="20"/>
          <w:rtl w:val="0"/>
        </w:rPr>
        <w:t xml:space="preserve">The infrastructure addressed by this work is representative of this scenario. Its core and main distribution rely on high-density switches with 10G uplinks (Dell PowerConnect 7000 series); its legacy access and secondary distribution layers comprise Fast/Gigabit Ethernet switches of earlier generations (Dell PowerConnect 3500 series and devices based on Comware OS 5.20 / 3Com Baseline); and its edge and expansion segments include manageable routers and switches from contemporary vendors (Cisco IOS/IOS-XE, MikroTik RouterOS, and TP-Link JetStream/ER).</w:t>
      </w:r>
    </w:p>
    <w:p>
      <w:pPr>
        <w:ind w:firstLine="202"/>
        <w:rPr/>
      </w:pPr>
      <w:r>
        <w:rPr>
          <w:rFonts w:ascii="Times New Roman" w:cs="Times New Roman" w:eastAsia="Times New Roman" w:hAnsi="Times New Roman"/>
          <w:sz w:val="20"/>
          <w:szCs w:val="20"/>
          <w:rtl w:val="0"/>
        </w:rPr>
        <w:t xml:space="preserve">Prior to this development, network administration presented significant risks. First, there was a lack of traceability: modifications to VLANs, routing tables, and access control lists (ACLs) were performed interactively and were not chronologically recorded. Second, the mean time to recovery (MTTR) was high: after hardware incidents such as power-supply failures or surges, service restoration depended on scattered, often outdated or incomplete backup files. Third, the infrastructure proved fragile in the face of standard tooling: previous attempts to use generic automated collection tools led to administrative account lockouts caused by massive retries after authentication errors, or to connection failures due to incompatibility with legacy SSH algorithms [6, 7]. Finally, topological opacity - the absence of formally documented network cartography - required manual on-site surveys to identify trunk links and inter-node dependencies. These failure modes are consistent with the literature on operator-driven outages and the intrinsic complexity of network configuration management [12, 13].</w:t>
      </w:r>
    </w:p>
    <w:p>
      <w:pPr>
        <w:ind w:firstLine="202"/>
        <w:rPr/>
      </w:pPr>
      <w:r>
        <w:rPr>
          <w:rFonts w:ascii="Times New Roman" w:cs="Times New Roman" w:eastAsia="Times New Roman" w:hAnsi="Times New Roman"/>
          <w:sz w:val="20"/>
          <w:szCs w:val="20"/>
          <w:rtl w:val="0"/>
        </w:rPr>
        <w:t xml:space="preserve">The objective of this work is therefore to design, implement, and evaluate a purpose-built NCM platform that treats the constraints of legacy equipment as primary design requirements, rather than adapting a generic tool to an environment it was not designed for. As Section 2 shows, no documented platform currently combines legacy-safe collection, lockout-preventing retry semantics, and traffic-free topology inference in a package deployable by institutions with limited budgets; closing that gap is the specific contribution pursued here. The main contributions are: (1) an adaptive multi-vendor SSH collection engine that negotiates with legacy cryptographic stacks without weakening the security posture of the management server; (2) a transactional Git-based version store with volatile-pattern normalization that yields a zero-noise, fully auditable configuration history; (3) a static topology inference algorithm that reconstructs the L2/L3 connectivity graph from stored configurations alone, without emitting additional traffic on the network; and (4) an active infrastructure-protection scheme - credential quarantine, truncation rejection, and controlled concurrency - that operationalizes a "do no harm" design philosophy.</w:t>
      </w:r>
    </w:p>
    <w:p>
      <w:pPr>
        <w:ind w:firstLine="202"/>
        <w:rPr/>
      </w:pPr>
      <w:r>
        <w:rPr>
          <w:rFonts w:ascii="Times New Roman" w:cs="Times New Roman" w:eastAsia="Times New Roman" w:hAnsi="Times New Roman"/>
          <w:sz w:val="20"/>
          <w:szCs w:val="20"/>
          <w:rtl w:val="0"/>
        </w:rPr>
        <w:t xml:space="preserve">This paper is organized as follows. Section 2 reviews the literature on network configuration management tooling, legacy SSH interoperability, topology discovery, and infrastructure as code. Section 3 describes the methodology and design principles. Section 4 presents the system architecture and design. Section 5 details the implementation. Section 6 reports results from the pilot deployment. Section 7 discusses the findings against the state of the art and the system's limitations. Section 8 draws conclusions, and Section 9 outlines future work.</w:t>
      </w:r>
    </w:p>
    <w:p>
      <w:pPr>
        <w:rPr/>
      </w:pPr>
    </w:p>
    <w:p>
      <w:pPr>
        <w:rPr/>
      </w:pPr>
    </w:p>
    <w:p>
      <w:pPr>
        <w:keepNext w:val="1"/>
        <w:jc w:val="left"/>
        <w:rPr>
          <w:b w:val="1"/>
          <w:bCs w:val="1"/>
        </w:rPr>
      </w:pPr>
      <w:r>
        <w:rPr>
          <w:rFonts w:ascii="Times New Roman" w:cs="Times New Roman" w:eastAsia="Times New Roman" w:hAnsi="Times New Roman"/>
          <w:b w:val="1"/>
          <w:bCs w:val="1"/>
          <w:sz w:val="20"/>
          <w:szCs w:val="20"/>
          <w:rtl w:val="0"/>
        </w:rPr>
        <w:t xml:space="preserve">2. LITERATURE REVIEW</w:t>
      </w:r>
    </w:p>
    <w:p>
      <w:pPr>
        <w:rPr/>
      </w:pPr>
    </w:p>
    <w:p>
      <w:pPr>
        <w:keepNext w:val="1"/>
        <w:jc w:val="left"/>
        <w:rPr>
          <w:b w:val="1"/>
          <w:bCs w:val="1"/>
        </w:rPr>
      </w:pPr>
      <w:r>
        <w:rPr>
          <w:rFonts w:ascii="Times New Roman" w:cs="Times New Roman" w:eastAsia="Times New Roman" w:hAnsi="Times New Roman"/>
          <w:b w:val="1"/>
          <w:bCs w:val="1"/>
          <w:sz w:val="20"/>
          <w:szCs w:val="20"/>
          <w:rtl w:val="0"/>
        </w:rPr>
        <w:t xml:space="preserve">2.1 Network configuration management tooling</w:t>
      </w:r>
    </w:p>
    <w:p>
      <w:pPr>
        <w:rPr/>
      </w:pPr>
    </w:p>
    <w:p>
      <w:pPr>
        <w:ind w:firstLine="202"/>
        <w:rPr/>
      </w:pPr>
      <w:r>
        <w:rPr>
          <w:rFonts w:ascii="Times New Roman" w:cs="Times New Roman" w:eastAsia="Times New Roman" w:hAnsi="Times New Roman"/>
          <w:sz w:val="20"/>
          <w:szCs w:val="20"/>
          <w:rtl w:val="0"/>
        </w:rPr>
        <w:t xml:space="preserve">Configuration backup and change tracking for network devices is a long-established practice. RANCID [2] pioneered the model of periodically logging into routers, collecting the running configuration, and committing differences to a version-control repository. Oxidized [1], its modern successor, generalizes this model to more than one hundred device types through a Ruby-based collection engine with pluggable input, output, and source modules, and has become the de facto open-source reference for network configuration backup. Higher-level automation frameworks such as NAPALM [3] and Netmiko [4] provide multi-vendor abstraction layers for programmatic interaction with network operating systems, and are commonly embedded in orchestration ecosystems. All of these tools, however, presuppose devices that behave reasonably close to contemporary standards; their extension mechanisms for anomalous login dialogues, restrictive consoles, or obsolete cryptography require non-trivial custom development in the host language, and their retry semantics are not designed around the lockout policies of devices with strict local AAA configurations.</w:t>
      </w:r>
    </w:p>
    <w:p>
      <w:pPr>
        <w:rPr/>
      </w:pPr>
    </w:p>
    <w:p>
      <w:pPr>
        <w:keepNext w:val="1"/>
        <w:jc w:val="left"/>
        <w:rPr>
          <w:b w:val="1"/>
          <w:bCs w:val="1"/>
        </w:rPr>
      </w:pPr>
      <w:r>
        <w:rPr>
          <w:rFonts w:ascii="Times New Roman" w:cs="Times New Roman" w:eastAsia="Times New Roman" w:hAnsi="Times New Roman"/>
          <w:b w:val="1"/>
          <w:bCs w:val="1"/>
          <w:sz w:val="20"/>
          <w:szCs w:val="20"/>
          <w:rtl w:val="0"/>
        </w:rPr>
        <w:t xml:space="preserve">2.2 Interoperability with legacy SSH implementations</w:t>
      </w:r>
    </w:p>
    <w:p>
      <w:pPr>
        <w:rPr/>
      </w:pPr>
    </w:p>
    <w:p>
      <w:pPr>
        <w:ind w:firstLine="202"/>
        <w:rPr/>
      </w:pPr>
      <w:r>
        <w:rPr>
          <w:rFonts w:ascii="Times New Roman" w:cs="Times New Roman" w:eastAsia="Times New Roman" w:hAnsi="Times New Roman"/>
          <w:sz w:val="20"/>
          <w:szCs w:val="20"/>
          <w:rtl w:val="0"/>
        </w:rPr>
        <w:t xml:space="preserve">The SSH protocol suite [5, 6] allows peers to negotiate key-exchange methods, ciphers, and message authentication codes. As cryptanalytic results accumulated, algorithms such as diffie-hellman-group14-sha1 and CBC-mode ciphers were progressively deprecated by modern SSH distributions, and current IETF guidance discourages their use [7]. Legacy network equipment, whose firmware no longer receives updates, frequently supports only these deprecated algorithms. The standard workaround - globally re-enabling weak algorithms in the management host's SSH client configuration - degrades the security posture of every connection made from that host, illustrating a structural tension between operational reach and cryptographic hygiene that a management platform for legacy environments must resolve explicitly.</w:t>
      </w:r>
    </w:p>
    <w:p>
      <w:pPr>
        <w:rPr/>
      </w:pPr>
    </w:p>
    <w:p>
      <w:pPr>
        <w:keepNext w:val="1"/>
        <w:jc w:val="left"/>
        <w:rPr>
          <w:b w:val="1"/>
          <w:bCs w:val="1"/>
        </w:rPr>
      </w:pPr>
      <w:r>
        <w:rPr>
          <w:rFonts w:ascii="Times New Roman" w:cs="Times New Roman" w:eastAsia="Times New Roman" w:hAnsi="Times New Roman"/>
          <w:b w:val="1"/>
          <w:bCs w:val="1"/>
          <w:sz w:val="20"/>
          <w:szCs w:val="20"/>
          <w:rtl w:val="0"/>
        </w:rPr>
        <w:t xml:space="preserve">2.3 Topology discovery</w:t>
      </w:r>
    </w:p>
    <w:p>
      <w:pPr>
        <w:rPr/>
      </w:pPr>
    </w:p>
    <w:p>
      <w:pPr>
        <w:ind w:firstLine="202"/>
        <w:rPr/>
      </w:pPr>
      <w:r>
        <w:rPr>
          <w:rFonts w:ascii="Times New Roman" w:cs="Times New Roman" w:eastAsia="Times New Roman" w:hAnsi="Times New Roman"/>
          <w:sz w:val="20"/>
          <w:szCs w:val="20"/>
          <w:rtl w:val="0"/>
        </w:rPr>
        <w:t xml:space="preserve">Dynamic neighbor-discovery protocols such as LLDP [8] and the proprietary CDP are the usual basis for automated topology mapping, complemented by SNMP-based collection of interface and forwarding tables [20]. In legacy environments these mechanisms are often unavailable: firmware may not support LLDP, may not persist its configuration, or administrative policy may keep discovery protocols disabled. An alternative line of work reconstructs topology statically, from the semantic content of device configurations themselves - shared point-to-point subnets, VLAN transport sets, and interface descriptions - an approach that emits no traffic on the production network and can therefore be applied without operational risk. The use of /30 and /31 prefixes on point-to-point links [17] provides particularly strong static evidence, since such a subnet can only be shared by exactly two interfaces.</w:t>
      </w:r>
    </w:p>
    <w:p>
      <w:pPr>
        <w:rPr/>
      </w:pPr>
    </w:p>
    <w:p>
      <w:pPr>
        <w:keepNext w:val="1"/>
        <w:jc w:val="left"/>
        <w:rPr>
          <w:b w:val="1"/>
          <w:bCs w:val="1"/>
        </w:rPr>
      </w:pPr>
      <w:r>
        <w:rPr>
          <w:rFonts w:ascii="Times New Roman" w:cs="Times New Roman" w:eastAsia="Times New Roman" w:hAnsi="Times New Roman"/>
          <w:b w:val="1"/>
          <w:bCs w:val="1"/>
          <w:sz w:val="20"/>
          <w:szCs w:val="20"/>
          <w:rtl w:val="0"/>
        </w:rPr>
        <w:t xml:space="preserve">2.4 Infrastructure as code and version control</w:t>
      </w:r>
    </w:p>
    <w:p>
      <w:pPr>
        <w:rPr/>
      </w:pPr>
    </w:p>
    <w:p>
      <w:pPr>
        <w:ind w:firstLine="202"/>
        <w:rPr/>
      </w:pPr>
      <w:r>
        <w:rPr>
          <w:rFonts w:ascii="Times New Roman" w:cs="Times New Roman" w:eastAsia="Times New Roman" w:hAnsi="Times New Roman"/>
          <w:sz w:val="20"/>
          <w:szCs w:val="20"/>
          <w:rtl w:val="0"/>
        </w:rPr>
        <w:t xml:space="preserve">The infrastructure-as-code paradigm treats infrastructure definitions as versioned artifacts subject to the same engineering discipline as software [10]. Git [9] provides content-addressable storage, atomic commits, and a complete audit trail, making it a natural substrate for configuration history. Classic difference algorithms [15, 16] underpin change visualization; for configuration auditing, word-level tokenization over line-based diffs allows the exact changed parameter (an SNMP community, a VLAN identifier, an ACL entry) to be identified visually. Finally, the digital-twin concept [18] - a faithful software replica of a physical system used for validation without touching the real asset - has been increasingly applied to network environments, and motivates the hardware simulator used in this work.</w:t>
      </w:r>
    </w:p>
    <w:p>
      <w:pPr>
        <w:rPr/>
      </w:pPr>
    </w:p>
    <w:p>
      <w:pPr>
        <w:keepNext w:val="1"/>
        <w:jc w:val="left"/>
        <w:rPr>
          <w:b w:val="1"/>
          <w:bCs w:val="1"/>
        </w:rPr>
      </w:pPr>
      <w:r>
        <w:rPr>
          <w:rFonts w:ascii="Times New Roman" w:cs="Times New Roman" w:eastAsia="Times New Roman" w:hAnsi="Times New Roman"/>
          <w:b w:val="1"/>
          <w:bCs w:val="1"/>
          <w:sz w:val="20"/>
          <w:szCs w:val="20"/>
          <w:rtl w:val="0"/>
        </w:rPr>
        <w:t xml:space="preserve">2.5 Synthesis and research gap</w:t>
      </w:r>
    </w:p>
    <w:p>
      <w:pPr>
        <w:rPr/>
      </w:pPr>
    </w:p>
    <w:p>
      <w:pPr>
        <w:ind w:firstLine="202"/>
        <w:rPr/>
      </w:pPr>
      <w:r>
        <w:rPr>
          <w:rFonts w:ascii="Times New Roman" w:cs="Times New Roman" w:eastAsia="Times New Roman" w:hAnsi="Times New Roman"/>
          <w:sz w:val="20"/>
          <w:szCs w:val="20"/>
          <w:rtl w:val="0"/>
        </w:rPr>
        <w:t xml:space="preserve">The reviewed literature exhibits a consistent pattern: mature NCM tooling [1-4] assumes standards-compliant devices and treats legacy anomalies as extension cases to be programmed ad hoc; guidance on SSH cryptography [7] resolves the legacy-interoperability tension only at the cost of host-wide security relaxation; and automated topology mapping presupposes active discovery protocols [8, 20] that legacy environments frequently lack. To the best of the authors' knowledge, no documented open-source platform simultaneously provides (i) session-scoped negotiation with obsolete SSH stacks that preserves the management host's security posture, (ii) collection semantics designed around the lockout policies of devices with local AAA (credential quarantine, bounded retries), (iii) a transparent, evidence-tiered approach to topology inference performed purely by static configuration analysis, distinguishing deterministic from heuristic evidence, and (iv) a zero-infrastructure deployment model suited to institutional and educational settings. This combination is the research gap addressed by the present work.</w:t>
      </w:r>
    </w:p>
    <w:p>
      <w:pPr>
        <w:rPr/>
      </w:pPr>
    </w:p>
    <w:p>
      <w:pPr>
        <w:rPr/>
      </w:pPr>
    </w:p>
    <w:p>
      <w:pPr>
        <w:keepNext w:val="1"/>
        <w:jc w:val="left"/>
        <w:rPr>
          <w:b w:val="1"/>
          <w:bCs w:val="1"/>
        </w:rPr>
      </w:pPr>
      <w:r>
        <w:rPr>
          <w:rFonts w:ascii="Times New Roman" w:cs="Times New Roman" w:eastAsia="Times New Roman" w:hAnsi="Times New Roman"/>
          <w:b w:val="1"/>
          <w:bCs w:val="1"/>
          <w:sz w:val="20"/>
          <w:szCs w:val="20"/>
          <w:rtl w:val="0"/>
        </w:rPr>
        <w:t xml:space="preserve">3. METHODOLOGY AND DESIGN PRINCIPLES</w:t>
      </w:r>
    </w:p>
    <w:p>
      <w:pPr>
        <w:rPr/>
      </w:pPr>
    </w:p>
    <w:p>
      <w:pPr>
        <w:ind w:firstLine="202"/>
        <w:rPr/>
      </w:pPr>
      <w:r>
        <w:rPr>
          <w:rFonts w:ascii="Times New Roman" w:cs="Times New Roman" w:eastAsia="Times New Roman" w:hAnsi="Times New Roman"/>
          <w:sz w:val="20"/>
          <w:szCs w:val="20"/>
          <w:rtl w:val="0"/>
        </w:rPr>
        <w:t xml:space="preserve">The system was developed under a set of premises oriented toward robustness, portability, and low operational impact (zero-infrastructure overhead):</w:t>
      </w:r>
    </w:p>
    <w:p>
      <w:pPr>
        <w:ind w:firstLine="202"/>
        <w:rPr/>
      </w:pPr>
      <w:r>
        <w:rPr>
          <w:rFonts w:ascii="Times New Roman" w:cs="Times New Roman" w:eastAsia="Times New Roman" w:hAnsi="Times New Roman"/>
          <w:b w:val="1"/>
          <w:bCs w:val="1"/>
          <w:sz w:val="20"/>
          <w:szCs w:val="20"/>
          <w:rtl w:val="0"/>
        </w:rPr>
        <w:t xml:space="preserve">Lightweight, self-contained architecture. </w:t>
      </w:r>
      <w:r>
        <w:rPr>
          <w:rFonts w:ascii="Times New Roman" w:cs="Times New Roman" w:eastAsia="Times New Roman" w:hAnsi="Times New Roman"/>
          <w:sz w:val="20"/>
          <w:szCs w:val="20"/>
          <w:rtl w:val="0"/>
        </w:rPr>
        <w:t xml:space="preserve">The system operates without external relational database managers and without complex build chains for the web interface. The entire environment runs directly on standard Python and native web components, which simplifies deployment on modest institutional hardware and guarantees full technical transfer to the institution.</w:t>
      </w:r>
    </w:p>
    <w:p>
      <w:pPr>
        <w:ind w:firstLine="202"/>
        <w:rPr/>
      </w:pPr>
      <w:r>
        <w:rPr>
          <w:rFonts w:ascii="Times New Roman" w:cs="Times New Roman" w:eastAsia="Times New Roman" w:hAnsi="Times New Roman"/>
          <w:b w:val="1"/>
          <w:bCs w:val="1"/>
          <w:sz w:val="20"/>
          <w:szCs w:val="20"/>
          <w:rtl w:val="0"/>
        </w:rPr>
        <w:t xml:space="preserve">Atomic version control (GitStore). </w:t>
      </w:r>
      <w:r>
        <w:rPr>
          <w:rFonts w:ascii="Times New Roman" w:cs="Times New Roman" w:eastAsia="Times New Roman" w:hAnsi="Times New Roman"/>
          <w:sz w:val="20"/>
          <w:szCs w:val="20"/>
          <w:rtl w:val="0"/>
        </w:rPr>
        <w:t xml:space="preserve">Every successful configuration dump constitutes a commit in a private version store. Strict transactional control is implemented through filesystem-level locks to guarantee atomicity and prevent race conditions between concurrent processes, preserving the consistency of the Git index at all times [9].</w:t>
      </w:r>
    </w:p>
    <w:p>
      <w:pPr>
        <w:ind w:firstLine="202"/>
        <w:rPr/>
      </w:pPr>
      <w:r>
        <w:rPr>
          <w:rFonts w:ascii="Times New Roman" w:cs="Times New Roman" w:eastAsia="Times New Roman" w:hAnsi="Times New Roman"/>
          <w:b w:val="1"/>
          <w:bCs w:val="1"/>
          <w:sz w:val="20"/>
          <w:szCs w:val="20"/>
          <w:rtl w:val="0"/>
        </w:rPr>
        <w:t xml:space="preserve">"Do no harm" principle. </w:t>
      </w:r>
      <w:r>
        <w:rPr>
          <w:rFonts w:ascii="Times New Roman" w:cs="Times New Roman" w:eastAsia="Times New Roman" w:hAnsi="Times New Roman"/>
          <w:sz w:val="20"/>
          <w:szCs w:val="20"/>
          <w:rtl w:val="0"/>
        </w:rPr>
        <w:t xml:space="preserve">The software prioritizes the integrity of the network over data collection: it avoids saturating the control plane of older switches through controlled concurrency and session serialization; it applies strict end-of-file validation to reject truncated backups that would otherwise overwrite previously functional versions; and it automatically suspends access attempts after repeated authentication failures, eliminating the lockout risk documented in Section 1.</w:t>
      </w:r>
    </w:p>
    <w:p>
      <w:pPr>
        <w:ind w:firstLine="202"/>
        <w:rPr/>
      </w:pPr>
      <w:r>
        <w:rPr>
          <w:rFonts w:ascii="Times New Roman" w:cs="Times New Roman" w:eastAsia="Times New Roman" w:hAnsi="Times New Roman"/>
          <w:b w:val="1"/>
          <w:bCs w:val="1"/>
          <w:sz w:val="20"/>
          <w:szCs w:val="20"/>
          <w:rtl w:val="0"/>
        </w:rPr>
        <w:t xml:space="preserve">Digital twin and isolated validation. </w:t>
      </w:r>
      <w:r>
        <w:rPr>
          <w:rFonts w:ascii="Times New Roman" w:cs="Times New Roman" w:eastAsia="Times New Roman" w:hAnsi="Times New Roman"/>
          <w:sz w:val="20"/>
          <w:szCs w:val="20"/>
          <w:rtl w:val="0"/>
        </w:rPr>
        <w:t xml:space="preserve">For development and continuous-integration testing, a device simulator (fake_device.py) emulates with precision the anomalies of the real devices - in-band login dialogues, forced paging, and privilege-elevation prompts - allowing the software to be certified without operational risk on the production network [18].</w:t>
      </w:r>
    </w:p>
    <w:p>
      <w:pPr>
        <w:rPr/>
      </w:pPr>
    </w:p>
    <w:p>
      <w:pPr>
        <w:rPr/>
      </w:pPr>
    </w:p>
    <w:p>
      <w:pPr>
        <w:keepNext w:val="1"/>
        <w:jc w:val="left"/>
        <w:rPr>
          <w:b w:val="1"/>
          <w:bCs w:val="1"/>
        </w:rPr>
      </w:pPr>
      <w:r>
        <w:rPr>
          <w:rFonts w:ascii="Times New Roman" w:cs="Times New Roman" w:eastAsia="Times New Roman" w:hAnsi="Times New Roman"/>
          <w:b w:val="1"/>
          <w:bCs w:val="1"/>
          <w:sz w:val="20"/>
          <w:szCs w:val="20"/>
          <w:rtl w:val="0"/>
        </w:rPr>
        <w:t xml:space="preserve">4. SYSTEM ARCHITECTURE AND DESIGN</w:t>
      </w:r>
    </w:p>
    <w:p>
      <w:pPr>
        <w:rPr/>
      </w:pPr>
    </w:p>
    <w:p>
      <w:pPr>
        <w:keepNext w:val="1"/>
        <w:jc w:val="left"/>
        <w:rPr>
          <w:b w:val="1"/>
          <w:bCs w:val="1"/>
        </w:rPr>
      </w:pPr>
      <w:r>
        <w:rPr>
          <w:rFonts w:ascii="Times New Roman" w:cs="Times New Roman" w:eastAsia="Times New Roman" w:hAnsi="Times New Roman"/>
          <w:b w:val="1"/>
          <w:bCs w:val="1"/>
          <w:sz w:val="20"/>
          <w:szCs w:val="20"/>
          <w:rtl w:val="0"/>
        </w:rPr>
        <w:t xml:space="preserve">4.1 Five-layer architecture</w:t>
      </w:r>
    </w:p>
    <w:p>
      <w:pPr>
        <w:rPr/>
      </w:pPr>
    </w:p>
    <w:p>
      <w:pPr>
        <w:ind w:firstLine="202"/>
        <w:rPr/>
      </w:pPr>
      <w:r>
        <w:rPr>
          <w:rFonts w:ascii="Times New Roman" w:cs="Times New Roman" w:eastAsia="Times New Roman" w:hAnsi="Times New Roman"/>
          <w:sz w:val="20"/>
          <w:szCs w:val="20"/>
          <w:rtl w:val="0"/>
        </w:rPr>
        <w:t xml:space="preserve">The solution is structured in five clearly decoupled functional layers, shown in Figure 1. Layer 1 (definition and inventory) comprises the inventory.yaml topology and role definition, a protected .env secrets file, and a round-trip inventory engine that preserves comments and ordering on rewrite. Layer 2 (orchestration and connectivity) contains the central collector, the credential-quarantine module, and the driver dispatcher. Layer 3 (hardware abstraction) hosts one specialized driver per device family - Dell PowerConnect 7000/3500, Comware OS 5.20, Cisco IOS/IOS-XE, MikroTik RouterOS, and TP-Link JetStream/ER - supported by the ssh_compat component for legacy cryptographic negotiation. Layer 4 (integrity and versioning) applies the volatile-pattern filter and integrity validation before handing the configuration to the transactional GitStore engine. Layer 5 (analysis and presentation) exposes the side-by-side diff engine and the topology-inference engine through a native single-page web application (SPA) and a command-line console (CLI).</w:t>
      </w:r>
    </w:p>
    <w:p>
      <w:pPr>
        <w:rPr/>
      </w:pPr>
    </w:p>
    <w:p>
      <w:pPr>
        <w:jc w:val="center"/>
        <w:rPr/>
      </w:pPr>
      <w:r>
        <w:rPr>
          <w:rtl w:val="0"/>
        </w:rPr>
        <w:drawing>
          <wp:inline distT="0" distB="0" distL="0" distR="0">
            <wp:extent cx="3100000" cy="3728985"/>
            <wp:effectExtent b="0" l="0" r="0" t="0"/>
            <wp:docPr id="100" name="figure1_architecture.png"/>
            <a:graphic>
              <a:graphicData uri="http://schemas.openxmlformats.org/drawingml/2006/picture">
                <pic:pic>
                  <pic:nvPicPr>
                    <pic:cNvPr id="100" name="figure1_architecture.png"/>
                    <pic:cNvPicPr/>
                  </pic:nvPicPr>
                  <pic:blipFill>
                    <a:blip r:embed="rId100"/>
                    <a:stretch>
                      <a:fillRect/>
                    </a:stretch>
                  </pic:blipFill>
                  <pic:spPr>
                    <a:xfrm>
                      <a:off x="0" y="0"/>
                      <a:ext cx="3100000" cy="3728985"/>
                    </a:xfrm>
                    <a:prstGeom prst="rect">
                      <a:avLst/>
                    </a:prstGeom>
                  </pic:spPr>
                </pic:pic>
              </a:graphicData>
            </a:graphic>
          </wp:inline>
        </w:drawing>
      </w:r>
    </w:p>
    <w:p>
      <w:pPr>
        <w:jc w:val="center"/>
        <w:rPr/>
      </w:pPr>
      <w:r>
        <w:rPr>
          <w:rFonts w:ascii="Times New Roman" w:cs="Times New Roman" w:eastAsia="Times New Roman" w:hAnsi="Times New Roman"/>
          <w:b w:val="1"/>
          <w:bCs w:val="1"/>
          <w:sz w:val="20"/>
          <w:szCs w:val="20"/>
          <w:rtl w:val="0"/>
        </w:rPr>
        <w:t xml:space="preserve">Figure 1. </w:t>
      </w:r>
      <w:r>
        <w:rPr>
          <w:rFonts w:ascii="Times New Roman" w:cs="Times New Roman" w:eastAsia="Times New Roman" w:hAnsi="Times New Roman"/>
          <w:sz w:val="20"/>
          <w:szCs w:val="20"/>
          <w:rtl w:val="0"/>
        </w:rPr>
        <w:t xml:space="preserve">Five-layer architecture of the proposed system</w:t>
      </w:r>
    </w:p>
    <w:p>
      <w:pPr>
        <w:rPr/>
      </w:pPr>
    </w:p>
    <w:p>
      <w:pPr>
        <w:keepNext w:val="1"/>
        <w:jc w:val="left"/>
        <w:rPr>
          <w:b w:val="1"/>
          <w:bCs w:val="1"/>
        </w:rPr>
      </w:pPr>
      <w:r>
        <w:rPr>
          <w:rFonts w:ascii="Times New Roman" w:cs="Times New Roman" w:eastAsia="Times New Roman" w:hAnsi="Times New Roman"/>
          <w:b w:val="1"/>
          <w:bCs w:val="1"/>
          <w:sz w:val="20"/>
          <w:szCs w:val="20"/>
          <w:rtl w:val="0"/>
        </w:rPr>
        <w:t xml:space="preserve">4.2 Driver abstraction and hardware particularities</w:t>
      </w:r>
    </w:p>
    <w:p>
      <w:pPr>
        <w:rPr/>
      </w:pPr>
    </w:p>
    <w:p>
      <w:pPr>
        <w:ind w:firstLine="202"/>
        <w:rPr/>
      </w:pPr>
      <w:r>
        <w:rPr>
          <w:rFonts w:ascii="Times New Roman" w:cs="Times New Roman" w:eastAsia="Times New Roman" w:hAnsi="Times New Roman"/>
          <w:sz w:val="20"/>
          <w:szCs w:val="20"/>
          <w:rtl w:val="0"/>
        </w:rPr>
        <w:t xml:space="preserve">Each device family is managed through a specialized driver, built over the Paramiko SSHv2 library [19], that implements three mechanisms absent from generic tooling:</w:t>
      </w:r>
    </w:p>
    <w:p>
      <w:pPr>
        <w:ind w:firstLine="202"/>
        <w:rPr/>
      </w:pPr>
      <w:r>
        <w:rPr>
          <w:rFonts w:ascii="Times New Roman" w:cs="Times New Roman" w:eastAsia="Times New Roman" w:hAnsi="Times New Roman"/>
          <w:b w:val="1"/>
          <w:bCs w:val="1"/>
          <w:sz w:val="20"/>
          <w:szCs w:val="20"/>
          <w:rtl w:val="0"/>
        </w:rPr>
        <w:t xml:space="preserve">Temporary cryptographic management (ssh_compat). </w:t>
      </w:r>
      <w:r>
        <w:rPr>
          <w:rFonts w:ascii="Times New Roman" w:cs="Times New Roman" w:eastAsia="Times New Roman" w:hAnsi="Times New Roman"/>
          <w:sz w:val="20"/>
          <w:szCs w:val="20"/>
          <w:rtl w:val="0"/>
        </w:rPr>
        <w:t xml:space="preserve">For equipment with obsolete SSH implementations, the system atomically promotes algorithms such as diffie-hellman-group14-sha1 or aes128-cbc exclusively during the initial session handshake, restoring modern cryptographic standards immediately afterwards. The promotion is scoped to the individual session, so the security posture of the management server - and of every other connection it makes - is never weakened [6, 7].</w:t>
      </w:r>
    </w:p>
    <w:p>
      <w:pPr>
        <w:ind w:firstLine="202"/>
        <w:rPr/>
      </w:pPr>
      <w:r>
        <w:rPr>
          <w:rFonts w:ascii="Times New Roman" w:cs="Times New Roman" w:eastAsia="Times New Roman" w:hAnsi="Times New Roman"/>
          <w:b w:val="1"/>
          <w:bCs w:val="1"/>
          <w:sz w:val="20"/>
          <w:szCs w:val="20"/>
          <w:rtl w:val="0"/>
        </w:rPr>
        <w:t xml:space="preserve">Prompt handling and two-phase elevation. </w:t>
      </w:r>
      <w:r>
        <w:rPr>
          <w:rFonts w:ascii="Times New Roman" w:cs="Times New Roman" w:eastAsia="Times New Roman" w:hAnsi="Times New Roman"/>
          <w:sz w:val="20"/>
          <w:szCs w:val="20"/>
          <w:rtl w:val="0"/>
        </w:rPr>
        <w:t xml:space="preserve">On platforms that start in restricted consoles, the driver transparently manages the interactive privilege-elevation dialogue (including secondary passwords) before executing the configuration-dump and paging-deactivation commands.</w:t>
      </w:r>
    </w:p>
    <w:p>
      <w:pPr>
        <w:ind w:firstLine="202"/>
        <w:rPr/>
      </w:pPr>
      <w:r>
        <w:rPr>
          <w:rFonts w:ascii="Times New Roman" w:cs="Times New Roman" w:eastAsia="Times New Roman" w:hAnsi="Times New Roman"/>
          <w:b w:val="1"/>
          <w:bCs w:val="1"/>
          <w:sz w:val="20"/>
          <w:szCs w:val="20"/>
          <w:rtl w:val="0"/>
        </w:rPr>
        <w:t xml:space="preserve">In-band authentication. </w:t>
      </w:r>
      <w:r>
        <w:rPr>
          <w:rFonts w:ascii="Times New Roman" w:cs="Times New Roman" w:eastAsia="Times New Roman" w:hAnsi="Times New Roman"/>
          <w:sz w:val="20"/>
          <w:szCs w:val="20"/>
          <w:rtl w:val="0"/>
        </w:rPr>
        <w:t xml:space="preserve">On equipment whose SSH negotiation delegates authentication to an internal interactive pseudo-terminal, the driver detects and answers the username and password requests within the terminal stream, a behavior that generic collectors typically misinterpret as a connection timeout.</w:t>
      </w:r>
    </w:p>
    <w:p>
      <w:pPr>
        <w:ind w:firstLine="202"/>
        <w:rPr/>
      </w:pPr>
      <w:r>
        <w:rPr>
          <w:rFonts w:ascii="Times New Roman" w:cs="Times New Roman" w:eastAsia="Times New Roman" w:hAnsi="Times New Roman"/>
          <w:sz w:val="20"/>
          <w:szCs w:val="20"/>
          <w:rtl w:val="0"/>
        </w:rPr>
        <w:t xml:space="preserve">Table 1 summarizes the device families, their roles, and the specific constraints each driver absorbs.</w:t>
      </w:r>
    </w:p>
    <w:p>
      <w:pPr>
        <w:rPr/>
      </w:pPr>
    </w:p>
    <w:p>
      <w:pPr>
        <w:jc w:val="center"/>
        <w:rPr/>
      </w:pPr>
      <w:r>
        <w:rPr>
          <w:rFonts w:ascii="Times New Roman" w:cs="Times New Roman" w:eastAsia="Times New Roman" w:hAnsi="Times New Roman"/>
          <w:b w:val="1"/>
          <w:bCs w:val="1"/>
          <w:sz w:val="20"/>
          <w:szCs w:val="20"/>
          <w:rtl w:val="0"/>
        </w:rPr>
        <w:t xml:space="preserve">Table 1. </w:t>
      </w:r>
      <w:r>
        <w:rPr>
          <w:rFonts w:ascii="Times New Roman" w:cs="Times New Roman" w:eastAsia="Times New Roman" w:hAnsi="Times New Roman"/>
          <w:sz w:val="20"/>
          <w:szCs w:val="20"/>
          <w:rtl w:val="0"/>
        </w:rPr>
        <w:t xml:space="preserve">Managed device families and constraints absorbed by their drivers</w:t>
      </w:r>
    </w:p>
    <w:p>
      <w:pPr>
        <w:rPr/>
      </w:pPr>
    </w:p>
    <w:tbl>
      <w:tblPr>
        <w:tblStyle w:val="Table4"/>
        <w:tblW w:w="4900" w:type="dxa"/>
        <w:jc w:val="center"/>
        <w:tblBorders>
          <w:top w:color="000000" w:space="0" w:sz="4" w:val="single"/>
          <w:bottom w:color="000000" w:space="0" w:sz="4" w:val="single"/>
          <w:insideH w:color="000000" w:space="0" w:sz="4" w:val="single"/>
        </w:tblBorders>
        <w:tblLayout w:type="fixed"/>
        <w:tblLook w:val="0000"/>
      </w:tblPr>
      <w:tblGrid>
        <w:gridCol w:w="1250"/>
        <w:gridCol w:w="1150"/>
        <w:gridCol w:w="1500"/>
        <w:gridCol w:w="1000"/>
      </w:tblGrid>
      <w:tr>
        <w:tc>
          <w:tcPr>
            <w:tcW w:w="1250" w:type="dxa"/>
            <w:vAlign w:val="center"/>
          </w:tcPr>
          <w:p>
            <w:pPr>
              <w:jc w:val="left"/>
              <w:rPr/>
            </w:pPr>
            <w:r>
              <w:rPr>
                <w:rFonts w:ascii="Times New Roman" w:cs="Times New Roman" w:eastAsia="Times New Roman" w:hAnsi="Times New Roman"/>
                <w:b w:val="1"/>
                <w:bCs w:val="1"/>
                <w:sz w:val="18"/>
                <w:szCs w:val="18"/>
                <w:rtl w:val="0"/>
              </w:rPr>
              <w:t xml:space="preserve">Device family</w:t>
            </w:r>
          </w:p>
        </w:tc>
        <w:tc>
          <w:tcPr>
            <w:tcW w:w="1150" w:type="dxa"/>
            <w:vAlign w:val="center"/>
          </w:tcPr>
          <w:p>
            <w:pPr>
              <w:jc w:val="left"/>
              <w:rPr/>
            </w:pPr>
            <w:r>
              <w:rPr>
                <w:rFonts w:ascii="Times New Roman" w:cs="Times New Roman" w:eastAsia="Times New Roman" w:hAnsi="Times New Roman"/>
                <w:b w:val="1"/>
                <w:bCs w:val="1"/>
                <w:sz w:val="18"/>
                <w:szCs w:val="18"/>
                <w:rtl w:val="0"/>
              </w:rPr>
              <w:t xml:space="preserve">Network role</w:t>
            </w:r>
          </w:p>
        </w:tc>
        <w:tc>
          <w:tcPr>
            <w:tcW w:w="1500" w:type="dxa"/>
            <w:vAlign w:val="center"/>
          </w:tcPr>
          <w:p>
            <w:pPr>
              <w:jc w:val="left"/>
              <w:rPr/>
            </w:pPr>
            <w:r>
              <w:rPr>
                <w:rFonts w:ascii="Times New Roman" w:cs="Times New Roman" w:eastAsia="Times New Roman" w:hAnsi="Times New Roman"/>
                <w:b w:val="1"/>
                <w:bCs w:val="1"/>
                <w:sz w:val="18"/>
                <w:szCs w:val="18"/>
                <w:rtl w:val="0"/>
              </w:rPr>
              <w:t xml:space="preserve">Main operational constraints</w:t>
            </w:r>
          </w:p>
        </w:tc>
        <w:tc>
          <w:tcPr>
            <w:tcW w:w="1000" w:type="dxa"/>
            <w:vAlign w:val="center"/>
          </w:tcPr>
          <w:p>
            <w:pPr>
              <w:jc w:val="left"/>
              <w:rPr/>
            </w:pPr>
            <w:r>
              <w:rPr>
                <w:rFonts w:ascii="Times New Roman" w:cs="Times New Roman" w:eastAsia="Times New Roman" w:hAnsi="Times New Roman"/>
                <w:b w:val="1"/>
                <w:bCs w:val="1"/>
                <w:sz w:val="18"/>
                <w:szCs w:val="18"/>
                <w:rtl w:val="0"/>
              </w:rPr>
              <w:t xml:space="preserve">Driver validation</w:t>
            </w:r>
          </w:p>
        </w:tc>
      </w:tr>
      <w:tr>
        <w:tc>
          <w:tcPr>
            <w:tcW w:w="1250" w:type="dxa"/>
            <w:vAlign w:val="center"/>
          </w:tcPr>
          <w:p>
            <w:pPr>
              <w:jc w:val="left"/>
              <w:rPr/>
            </w:pPr>
            <w:r>
              <w:rPr>
                <w:rFonts w:ascii="Times New Roman" w:cs="Times New Roman" w:eastAsia="Times New Roman" w:hAnsi="Times New Roman"/>
                <w:sz w:val="18"/>
                <w:szCs w:val="18"/>
                <w:rtl w:val="0"/>
              </w:rPr>
              <w:t xml:space="preserve">Dell PowerConnect 7000</w:t>
            </w:r>
          </w:p>
        </w:tc>
        <w:tc>
          <w:tcPr>
            <w:tcW w:w="1150" w:type="dxa"/>
            <w:vAlign w:val="center"/>
          </w:tcPr>
          <w:p>
            <w:pPr>
              <w:jc w:val="left"/>
              <w:rPr/>
            </w:pPr>
            <w:r>
              <w:rPr>
                <w:rFonts w:ascii="Times New Roman" w:cs="Times New Roman" w:eastAsia="Times New Roman" w:hAnsi="Times New Roman"/>
                <w:sz w:val="18"/>
                <w:szCs w:val="18"/>
                <w:rtl w:val="0"/>
              </w:rPr>
              <w:t xml:space="preserve">Core / main distribution, 10G</w:t>
            </w:r>
          </w:p>
        </w:tc>
        <w:tc>
          <w:tcPr>
            <w:tcW w:w="1500" w:type="dxa"/>
            <w:vAlign w:val="center"/>
          </w:tcPr>
          <w:p>
            <w:pPr>
              <w:jc w:val="left"/>
              <w:rPr/>
            </w:pPr>
            <w:r>
              <w:rPr>
                <w:rFonts w:ascii="Times New Roman" w:cs="Times New Roman" w:eastAsia="Times New Roman" w:hAnsi="Times New Roman"/>
                <w:sz w:val="18"/>
                <w:szCs w:val="18"/>
                <w:rtl w:val="0"/>
              </w:rPr>
              <w:t xml:space="preserve">Forced paging; elevation dialogue</w:t>
            </w:r>
          </w:p>
        </w:tc>
        <w:tc>
          <w:tcPr>
            <w:tcW w:w="1000" w:type="dxa"/>
            <w:vAlign w:val="center"/>
          </w:tcPr>
          <w:p>
            <w:pPr>
              <w:jc w:val="left"/>
              <w:rPr/>
            </w:pPr>
            <w:r>
              <w:rPr>
                <w:rFonts w:ascii="Times New Roman" w:cs="Times New Roman" w:eastAsia="Times New Roman" w:hAnsi="Times New Roman"/>
                <w:sz w:val="18"/>
                <w:szCs w:val="18"/>
                <w:rtl w:val="0"/>
              </w:rPr>
              <w:t xml:space="preserve">Production-validated</w:t>
            </w:r>
          </w:p>
        </w:tc>
      </w:tr>
      <w:tr>
        <w:tc>
          <w:tcPr>
            <w:tcW w:w="1250" w:type="dxa"/>
            <w:vAlign w:val="center"/>
          </w:tcPr>
          <w:p>
            <w:pPr>
              <w:jc w:val="left"/>
              <w:rPr/>
            </w:pPr>
            <w:r>
              <w:rPr>
                <w:rFonts w:ascii="Times New Roman" w:cs="Times New Roman" w:eastAsia="Times New Roman" w:hAnsi="Times New Roman"/>
                <w:sz w:val="18"/>
                <w:szCs w:val="18"/>
                <w:rtl w:val="0"/>
              </w:rPr>
              <w:t xml:space="preserve">Dell PowerConnect 3500</w:t>
            </w:r>
          </w:p>
        </w:tc>
        <w:tc>
          <w:tcPr>
            <w:tcW w:w="1150" w:type="dxa"/>
            <w:vAlign w:val="center"/>
          </w:tcPr>
          <w:p>
            <w:pPr>
              <w:jc w:val="left"/>
              <w:rPr/>
            </w:pPr>
            <w:r>
              <w:rPr>
                <w:rFonts w:ascii="Times New Roman" w:cs="Times New Roman" w:eastAsia="Times New Roman" w:hAnsi="Times New Roman"/>
                <w:sz w:val="18"/>
                <w:szCs w:val="18"/>
                <w:rtl w:val="0"/>
              </w:rPr>
              <w:t xml:space="preserve">Legacy access / secondary distribution</w:t>
            </w:r>
          </w:p>
        </w:tc>
        <w:tc>
          <w:tcPr>
            <w:tcW w:w="1500" w:type="dxa"/>
            <w:vAlign w:val="center"/>
          </w:tcPr>
          <w:p>
            <w:pPr>
              <w:jc w:val="left"/>
              <w:rPr/>
            </w:pPr>
            <w:r>
              <w:rPr>
                <w:rFonts w:ascii="Times New Roman" w:cs="Times New Roman" w:eastAsia="Times New Roman" w:hAnsi="Times New Roman"/>
                <w:sz w:val="18"/>
                <w:szCs w:val="18"/>
                <w:rtl w:val="0"/>
              </w:rPr>
              <w:t xml:space="preserve">Legacy SSH KEX and ciphers; restricted console</w:t>
            </w:r>
          </w:p>
        </w:tc>
        <w:tc>
          <w:tcPr>
            <w:tcW w:w="1000" w:type="dxa"/>
            <w:vAlign w:val="center"/>
          </w:tcPr>
          <w:p>
            <w:pPr>
              <w:jc w:val="left"/>
              <w:rPr/>
            </w:pPr>
            <w:r>
              <w:rPr>
                <w:rFonts w:ascii="Times New Roman" w:cs="Times New Roman" w:eastAsia="Times New Roman" w:hAnsi="Times New Roman"/>
                <w:sz w:val="18"/>
                <w:szCs w:val="18"/>
                <w:rtl w:val="0"/>
              </w:rPr>
              <w:t xml:space="preserve">Production-validated</w:t>
            </w:r>
          </w:p>
        </w:tc>
      </w:tr>
      <w:tr>
        <w:tc>
          <w:tcPr>
            <w:tcW w:w="1250" w:type="dxa"/>
            <w:vAlign w:val="center"/>
          </w:tcPr>
          <w:p>
            <w:pPr>
              <w:jc w:val="left"/>
              <w:rPr/>
            </w:pPr>
            <w:r>
              <w:rPr>
                <w:rFonts w:ascii="Times New Roman" w:cs="Times New Roman" w:eastAsia="Times New Roman" w:hAnsi="Times New Roman"/>
                <w:sz w:val="18"/>
                <w:szCs w:val="18"/>
                <w:rtl w:val="0"/>
              </w:rPr>
              <w:t xml:space="preserve">Comware OS 5.20 / 3Com Baseline</w:t>
            </w:r>
          </w:p>
        </w:tc>
        <w:tc>
          <w:tcPr>
            <w:tcW w:w="1150" w:type="dxa"/>
            <w:vAlign w:val="center"/>
          </w:tcPr>
          <w:p>
            <w:pPr>
              <w:jc w:val="left"/>
              <w:rPr/>
            </w:pPr>
            <w:r>
              <w:rPr>
                <w:rFonts w:ascii="Times New Roman" w:cs="Times New Roman" w:eastAsia="Times New Roman" w:hAnsi="Times New Roman"/>
                <w:sz w:val="18"/>
                <w:szCs w:val="18"/>
                <w:rtl w:val="0"/>
              </w:rPr>
              <w:t xml:space="preserve">Legacy access</w:t>
            </w:r>
          </w:p>
        </w:tc>
        <w:tc>
          <w:tcPr>
            <w:tcW w:w="1500" w:type="dxa"/>
            <w:vAlign w:val="center"/>
          </w:tcPr>
          <w:p>
            <w:pPr>
              <w:jc w:val="left"/>
              <w:rPr/>
            </w:pPr>
            <w:r>
              <w:rPr>
                <w:rFonts w:ascii="Times New Roman" w:cs="Times New Roman" w:eastAsia="Times New Roman" w:hAnsi="Times New Roman"/>
                <w:sz w:val="18"/>
                <w:szCs w:val="18"/>
                <w:rtl w:val="0"/>
              </w:rPr>
              <w:t xml:space="preserve">In-band authentication; legacy ciphers</w:t>
            </w:r>
          </w:p>
        </w:tc>
        <w:tc>
          <w:tcPr>
            <w:tcW w:w="1000" w:type="dxa"/>
            <w:vAlign w:val="center"/>
          </w:tcPr>
          <w:p>
            <w:pPr>
              <w:jc w:val="left"/>
              <w:rPr/>
            </w:pPr>
            <w:r>
              <w:rPr>
                <w:rFonts w:ascii="Times New Roman" w:cs="Times New Roman" w:eastAsia="Times New Roman" w:hAnsi="Times New Roman"/>
                <w:sz w:val="18"/>
                <w:szCs w:val="18"/>
                <w:rtl w:val="0"/>
              </w:rPr>
              <w:t xml:space="preserve">Production-validated</w:t>
            </w:r>
          </w:p>
        </w:tc>
      </w:tr>
      <w:tr>
        <w:tc>
          <w:tcPr>
            <w:tcW w:w="1250" w:type="dxa"/>
            <w:vAlign w:val="center"/>
          </w:tcPr>
          <w:p>
            <w:pPr>
              <w:jc w:val="left"/>
              <w:rPr/>
            </w:pPr>
            <w:r>
              <w:rPr>
                <w:rFonts w:ascii="Times New Roman" w:cs="Times New Roman" w:eastAsia="Times New Roman" w:hAnsi="Times New Roman"/>
                <w:sz w:val="18"/>
                <w:szCs w:val="18"/>
                <w:rtl w:val="0"/>
              </w:rPr>
              <w:t xml:space="preserve">Cisco IOS / IOS-XE</w:t>
            </w:r>
          </w:p>
        </w:tc>
        <w:tc>
          <w:tcPr>
            <w:tcW w:w="1150" w:type="dxa"/>
            <w:vAlign w:val="center"/>
          </w:tcPr>
          <w:p>
            <w:pPr>
              <w:jc w:val="left"/>
              <w:rPr/>
            </w:pPr>
            <w:r>
              <w:rPr>
                <w:rFonts w:ascii="Times New Roman" w:cs="Times New Roman" w:eastAsia="Times New Roman" w:hAnsi="Times New Roman"/>
                <w:sz w:val="18"/>
                <w:szCs w:val="18"/>
                <w:rtl w:val="0"/>
              </w:rPr>
              <w:t xml:space="preserve">Edge and expansion segments</w:t>
            </w:r>
          </w:p>
        </w:tc>
        <w:tc>
          <w:tcPr>
            <w:tcW w:w="1500" w:type="dxa"/>
            <w:vAlign w:val="center"/>
          </w:tcPr>
          <w:p>
            <w:pPr>
              <w:jc w:val="left"/>
              <w:rPr/>
            </w:pPr>
            <w:r>
              <w:rPr>
                <w:rFonts w:ascii="Times New Roman" w:cs="Times New Roman" w:eastAsia="Times New Roman" w:hAnsi="Times New Roman"/>
                <w:sz w:val="18"/>
                <w:szCs w:val="18"/>
                <w:rtl w:val="0"/>
              </w:rPr>
              <w:t xml:space="preserve">Enable-mode elevation; paging</w:t>
            </w:r>
          </w:p>
        </w:tc>
        <w:tc>
          <w:tcPr>
            <w:tcW w:w="1000" w:type="dxa"/>
            <w:vAlign w:val="center"/>
          </w:tcPr>
          <w:p>
            <w:pPr>
              <w:jc w:val="left"/>
              <w:rPr/>
            </w:pPr>
            <w:r>
              <w:rPr>
                <w:rFonts w:ascii="Times New Roman" w:cs="Times New Roman" w:eastAsia="Times New Roman" w:hAnsi="Times New Roman"/>
                <w:sz w:val="18"/>
                <w:szCs w:val="18"/>
                <w:rtl w:val="0"/>
              </w:rPr>
              <w:t xml:space="preserve">Simulator-validated</w:t>
            </w:r>
          </w:p>
        </w:tc>
      </w:tr>
      <w:tr>
        <w:tc>
          <w:tcPr>
            <w:tcW w:w="1250" w:type="dxa"/>
            <w:vAlign w:val="center"/>
          </w:tcPr>
          <w:p>
            <w:pPr>
              <w:jc w:val="left"/>
              <w:rPr/>
            </w:pPr>
            <w:r>
              <w:rPr>
                <w:rFonts w:ascii="Times New Roman" w:cs="Times New Roman" w:eastAsia="Times New Roman" w:hAnsi="Times New Roman"/>
                <w:sz w:val="18"/>
                <w:szCs w:val="18"/>
                <w:rtl w:val="0"/>
              </w:rPr>
              <w:t xml:space="preserve">MikroTik RouterOS</w:t>
            </w:r>
          </w:p>
        </w:tc>
        <w:tc>
          <w:tcPr>
            <w:tcW w:w="1150" w:type="dxa"/>
            <w:vAlign w:val="center"/>
          </w:tcPr>
          <w:p>
            <w:pPr>
              <w:jc w:val="left"/>
              <w:rPr/>
            </w:pPr>
            <w:r>
              <w:rPr>
                <w:rFonts w:ascii="Times New Roman" w:cs="Times New Roman" w:eastAsia="Times New Roman" w:hAnsi="Times New Roman"/>
                <w:sz w:val="18"/>
                <w:szCs w:val="18"/>
                <w:rtl w:val="0"/>
              </w:rPr>
              <w:t xml:space="preserve">Edge routing</w:t>
            </w:r>
          </w:p>
        </w:tc>
        <w:tc>
          <w:tcPr>
            <w:tcW w:w="1500" w:type="dxa"/>
            <w:vAlign w:val="center"/>
          </w:tcPr>
          <w:p>
            <w:pPr>
              <w:jc w:val="left"/>
              <w:rPr/>
            </w:pPr>
            <w:r>
              <w:rPr>
                <w:rFonts w:ascii="Times New Roman" w:cs="Times New Roman" w:eastAsia="Times New Roman" w:hAnsi="Times New Roman"/>
                <w:sz w:val="18"/>
                <w:szCs w:val="18"/>
                <w:rtl w:val="0"/>
              </w:rPr>
              <w:t xml:space="preserve">Non-IOS export syntax; volatile export headers</w:t>
            </w:r>
          </w:p>
        </w:tc>
        <w:tc>
          <w:tcPr>
            <w:tcW w:w="1000" w:type="dxa"/>
            <w:vAlign w:val="center"/>
          </w:tcPr>
          <w:p>
            <w:pPr>
              <w:jc w:val="left"/>
              <w:rPr/>
            </w:pPr>
            <w:r>
              <w:rPr>
                <w:rFonts w:ascii="Times New Roman" w:cs="Times New Roman" w:eastAsia="Times New Roman" w:hAnsi="Times New Roman"/>
                <w:sz w:val="18"/>
                <w:szCs w:val="18"/>
                <w:rtl w:val="0"/>
              </w:rPr>
              <w:t xml:space="preserve">Simulator-validated</w:t>
            </w:r>
          </w:p>
        </w:tc>
      </w:tr>
      <w:tr>
        <w:tc>
          <w:tcPr>
            <w:tcW w:w="1250" w:type="dxa"/>
            <w:vAlign w:val="center"/>
          </w:tcPr>
          <w:p>
            <w:pPr>
              <w:jc w:val="left"/>
              <w:rPr/>
            </w:pPr>
            <w:r>
              <w:rPr>
                <w:rFonts w:ascii="Times New Roman" w:cs="Times New Roman" w:eastAsia="Times New Roman" w:hAnsi="Times New Roman"/>
                <w:sz w:val="18"/>
                <w:szCs w:val="18"/>
                <w:rtl w:val="0"/>
              </w:rPr>
              <w:t xml:space="preserve">TP-Link JetStream / ER</w:t>
            </w:r>
          </w:p>
        </w:tc>
        <w:tc>
          <w:tcPr>
            <w:tcW w:w="1150" w:type="dxa"/>
            <w:vAlign w:val="center"/>
          </w:tcPr>
          <w:p>
            <w:pPr>
              <w:jc w:val="left"/>
              <w:rPr/>
            </w:pPr>
            <w:r>
              <w:rPr>
                <w:rFonts w:ascii="Times New Roman" w:cs="Times New Roman" w:eastAsia="Times New Roman" w:hAnsi="Times New Roman"/>
                <w:sz w:val="18"/>
                <w:szCs w:val="18"/>
                <w:rtl w:val="0"/>
              </w:rPr>
              <w:t xml:space="preserve">Edge access</w:t>
            </w:r>
          </w:p>
        </w:tc>
        <w:tc>
          <w:tcPr>
            <w:tcW w:w="1500" w:type="dxa"/>
            <w:vAlign w:val="center"/>
          </w:tcPr>
          <w:p>
            <w:pPr>
              <w:jc w:val="left"/>
              <w:rPr/>
            </w:pPr>
            <w:r>
              <w:rPr>
                <w:rFonts w:ascii="Times New Roman" w:cs="Times New Roman" w:eastAsia="Times New Roman" w:hAnsi="Times New Roman"/>
                <w:sz w:val="18"/>
                <w:szCs w:val="18"/>
                <w:rtl w:val="0"/>
              </w:rPr>
              <w:t xml:space="preserve">Restrictive console; paging dialogs</w:t>
            </w:r>
          </w:p>
        </w:tc>
        <w:tc>
          <w:tcPr>
            <w:tcW w:w="1000" w:type="dxa"/>
            <w:vAlign w:val="center"/>
          </w:tcPr>
          <w:p>
            <w:pPr>
              <w:jc w:val="left"/>
              <w:rPr/>
            </w:pPr>
            <w:r>
              <w:rPr>
                <w:rFonts w:ascii="Times New Roman" w:cs="Times New Roman" w:eastAsia="Times New Roman" w:hAnsi="Times New Roman"/>
                <w:sz w:val="18"/>
                <w:szCs w:val="18"/>
                <w:rtl w:val="0"/>
              </w:rPr>
              <w:t xml:space="preserve">Simulator-validated</w:t>
            </w:r>
          </w:p>
        </w:tc>
      </w:tr>
    </w:tbl>
    <w:p>
      <w:pPr>
        <w:rPr/>
      </w:pPr>
    </w:p>
    <w:p>
      <w:pPr>
        <w:keepNext w:val="1"/>
        <w:jc w:val="left"/>
        <w:rPr>
          <w:b w:val="1"/>
          <w:bCs w:val="1"/>
        </w:rPr>
      </w:pPr>
      <w:r>
        <w:rPr>
          <w:rFonts w:ascii="Times New Roman" w:cs="Times New Roman" w:eastAsia="Times New Roman" w:hAnsi="Times New Roman"/>
          <w:b w:val="1"/>
          <w:bCs w:val="1"/>
          <w:sz w:val="20"/>
          <w:szCs w:val="20"/>
          <w:rtl w:val="0"/>
        </w:rPr>
        <w:t xml:space="preserve">4.3 Normalization and volatile-pattern filtering</w:t>
      </w:r>
    </w:p>
    <w:p>
      <w:pPr>
        <w:rPr/>
      </w:pPr>
    </w:p>
    <w:p>
      <w:pPr>
        <w:ind w:firstLine="202"/>
        <w:rPr/>
      </w:pPr>
      <w:r>
        <w:rPr>
          <w:rFonts w:ascii="Times New Roman" w:cs="Times New Roman" w:eastAsia="Times New Roman" w:hAnsi="Times New Roman"/>
          <w:sz w:val="20"/>
          <w:szCs w:val="20"/>
          <w:rtl w:val="0"/>
        </w:rPr>
        <w:t xml:space="preserve">Before storage in the repository, each configuration passes through a normalization stage that removes timestamps, uptime statistics, and dynamic lines generated by the firmware. This guarantees that the version engine records only substantive configuration changes, eliminating false-positive commits and keeping the history semantically meaningful for auditing.</w:t>
      </w:r>
    </w:p>
    <w:p>
      <w:pPr>
        <w:rPr/>
      </w:pPr>
    </w:p>
    <w:p>
      <w:pPr>
        <w:keepNext w:val="1"/>
        <w:jc w:val="left"/>
        <w:rPr>
          <w:b w:val="1"/>
          <w:bCs w:val="1"/>
        </w:rPr>
      </w:pPr>
      <w:r>
        <w:rPr>
          <w:rFonts w:ascii="Times New Roman" w:cs="Times New Roman" w:eastAsia="Times New Roman" w:hAnsi="Times New Roman"/>
          <w:b w:val="1"/>
          <w:bCs w:val="1"/>
          <w:sz w:val="20"/>
          <w:szCs w:val="20"/>
          <w:rtl w:val="0"/>
        </w:rPr>
        <w:t xml:space="preserve">4.4 Multilevel topology-inference algorithm</w:t>
      </w:r>
    </w:p>
    <w:p>
      <w:pPr>
        <w:rPr/>
      </w:pPr>
    </w:p>
    <w:p>
      <w:pPr>
        <w:ind w:firstLine="202"/>
        <w:rPr/>
      </w:pPr>
      <w:r>
        <w:rPr>
          <w:rFonts w:ascii="Times New Roman" w:cs="Times New Roman" w:eastAsia="Times New Roman" w:hAnsi="Times New Roman"/>
          <w:sz w:val="20"/>
          <w:szCs w:val="20"/>
          <w:rtl w:val="0"/>
        </w:rPr>
        <w:t xml:space="preserve">The topology subsystem syntactically analyzes the stored configuration files and reconstructs the connectivity graph of the network without emitting any additional traffic. Inferred links are classified into evidentiary tiers, as summarized in Table 2, that reflect the logical or heuristic strength of the static evidence behind each link - not a statistically calibrated confidence score: at the deterministic tier, point-to-point links are identified over /30 or /31 subnets shared unambiguously between Layer-3 interfaces [17], a case in which the subnet's uniqueness constitutes a logical proof rather than a probabilistic estimate; at the heuristic tier, the engine cross-correlates transport VLANs on trunk interfaces, explicit port descriptions, and adjacencies on management subnets, requiring independent corroboration between sources. In addition, the analyzer proactively reports configuration anomalies (findings), such as switch virtual interfaces (SVIs) with out-of-range addressing, link aggregation groups (LAGs) with no member interfaces, or discrepancies between the active configuration and the declared inventory. This classification has not yet been validated against a ground-truth topology; Section 7.1 discusses the gap and the protocol required to close it.</w:t>
      </w:r>
    </w:p>
    <w:p>
      <w:pPr>
        <w:rPr/>
      </w:pPr>
    </w:p>
    <w:p>
      <w:pPr>
        <w:jc w:val="center"/>
        <w:rPr/>
      </w:pPr>
      <w:r>
        <w:rPr>
          <w:rFonts w:ascii="Times New Roman" w:cs="Times New Roman" w:eastAsia="Times New Roman" w:hAnsi="Times New Roman"/>
          <w:b w:val="1"/>
          <w:bCs w:val="1"/>
          <w:sz w:val="20"/>
          <w:szCs w:val="20"/>
          <w:rtl w:val="0"/>
        </w:rPr>
        <w:t xml:space="preserve">Table 2. </w:t>
      </w:r>
      <w:r>
        <w:rPr>
          <w:rFonts w:ascii="Times New Roman" w:cs="Times New Roman" w:eastAsia="Times New Roman" w:hAnsi="Times New Roman"/>
          <w:sz w:val="20"/>
          <w:szCs w:val="20"/>
          <w:rtl w:val="0"/>
        </w:rPr>
        <w:t xml:space="preserve">Evidentiary tiers of the static topology-inference engine</w:t>
      </w:r>
    </w:p>
    <w:p>
      <w:pPr>
        <w:rPr/>
      </w:pPr>
    </w:p>
    <w:tbl>
      <w:tblPr>
        <w:tblStyle w:val="Table4"/>
        <w:tblW w:w="4900" w:type="dxa"/>
        <w:jc w:val="center"/>
        <w:tblBorders>
          <w:top w:color="000000" w:space="0" w:sz="4" w:val="single"/>
          <w:bottom w:color="000000" w:space="0" w:sz="4" w:val="single"/>
          <w:insideH w:color="000000" w:space="0" w:sz="4" w:val="single"/>
        </w:tblBorders>
        <w:tblLayout w:type="fixed"/>
        <w:tblLook w:val="0000"/>
      </w:tblPr>
      <w:tblGrid>
        <w:gridCol w:w="1100"/>
        <w:gridCol w:w="2100"/>
        <w:gridCol w:w="1700"/>
      </w:tblGrid>
      <w:tr>
        <w:tc>
          <w:tcPr>
            <w:tcW w:w="1100" w:type="dxa"/>
            <w:vAlign w:val="center"/>
          </w:tcPr>
          <w:p>
            <w:pPr>
              <w:jc w:val="left"/>
              <w:rPr/>
            </w:pPr>
            <w:r>
              <w:rPr>
                <w:rFonts w:ascii="Times New Roman" w:cs="Times New Roman" w:eastAsia="Times New Roman" w:hAnsi="Times New Roman"/>
                <w:b w:val="1"/>
                <w:bCs w:val="1"/>
                <w:sz w:val="18"/>
                <w:szCs w:val="18"/>
                <w:rtl w:val="0"/>
              </w:rPr>
              <w:t xml:space="preserve">Evidentiary tier</w:t>
            </w:r>
          </w:p>
        </w:tc>
        <w:tc>
          <w:tcPr>
            <w:tcW w:w="2100" w:type="dxa"/>
            <w:vAlign w:val="center"/>
          </w:tcPr>
          <w:p>
            <w:pPr>
              <w:jc w:val="left"/>
              <w:rPr/>
            </w:pPr>
            <w:r>
              <w:rPr>
                <w:rFonts w:ascii="Times New Roman" w:cs="Times New Roman" w:eastAsia="Times New Roman" w:hAnsi="Times New Roman"/>
                <w:b w:val="1"/>
                <w:bCs w:val="1"/>
                <w:sz w:val="18"/>
                <w:szCs w:val="18"/>
                <w:rtl w:val="0"/>
              </w:rPr>
              <w:t xml:space="preserve">Evidence source</w:t>
            </w:r>
          </w:p>
        </w:tc>
        <w:tc>
          <w:tcPr>
            <w:tcW w:w="1700" w:type="dxa"/>
            <w:vAlign w:val="center"/>
          </w:tcPr>
          <w:p>
            <w:pPr>
              <w:jc w:val="left"/>
              <w:rPr/>
            </w:pPr>
            <w:r>
              <w:rPr>
                <w:rFonts w:ascii="Times New Roman" w:cs="Times New Roman" w:eastAsia="Times New Roman" w:hAnsi="Times New Roman"/>
                <w:b w:val="1"/>
                <w:bCs w:val="1"/>
                <w:sz w:val="18"/>
                <w:szCs w:val="18"/>
                <w:rtl w:val="0"/>
              </w:rPr>
              <w:t xml:space="preserve">Example</w:t>
            </w:r>
          </w:p>
        </w:tc>
      </w:tr>
      <w:tr>
        <w:tc>
          <w:tcPr>
            <w:tcW w:w="1100" w:type="dxa"/>
            <w:vAlign w:val="center"/>
          </w:tcPr>
          <w:p>
            <w:pPr>
              <w:jc w:val="left"/>
              <w:rPr/>
            </w:pPr>
            <w:r>
              <w:rPr>
                <w:rFonts w:ascii="Times New Roman" w:cs="Times New Roman" w:eastAsia="Times New Roman" w:hAnsi="Times New Roman"/>
                <w:sz w:val="18"/>
                <w:szCs w:val="18"/>
                <w:rtl w:val="0"/>
              </w:rPr>
              <w:t xml:space="preserve">Deterministic</w:t>
            </w:r>
          </w:p>
        </w:tc>
        <w:tc>
          <w:tcPr>
            <w:tcW w:w="2100" w:type="dxa"/>
            <w:vAlign w:val="center"/>
          </w:tcPr>
          <w:p>
            <w:pPr>
              <w:jc w:val="left"/>
              <w:rPr/>
            </w:pPr>
            <w:r>
              <w:rPr>
                <w:rFonts w:ascii="Times New Roman" w:cs="Times New Roman" w:eastAsia="Times New Roman" w:hAnsi="Times New Roman"/>
                <w:sz w:val="18"/>
                <w:szCs w:val="18"/>
                <w:rtl w:val="0"/>
              </w:rPr>
              <w:t xml:space="preserve">/30 or /31 subnet shared by exactly two L3 interfaces</w:t>
            </w:r>
          </w:p>
        </w:tc>
        <w:tc>
          <w:tcPr>
            <w:tcW w:w="1700" w:type="dxa"/>
            <w:vAlign w:val="center"/>
          </w:tcPr>
          <w:p>
            <w:pPr>
              <w:jc w:val="left"/>
              <w:rPr/>
            </w:pPr>
            <w:r>
              <w:rPr>
                <w:rFonts w:ascii="Times New Roman" w:cs="Times New Roman" w:eastAsia="Times New Roman" w:hAnsi="Times New Roman"/>
                <w:sz w:val="18"/>
                <w:szCs w:val="18"/>
                <w:rtl w:val="0"/>
              </w:rPr>
              <w:t xml:space="preserve">Router-to-router point-to-point link</w:t>
            </w:r>
          </w:p>
        </w:tc>
      </w:tr>
      <w:tr>
        <w:tc>
          <w:tcPr>
            <w:tcW w:w="1100" w:type="dxa"/>
            <w:vAlign w:val="center"/>
          </w:tcPr>
          <w:p>
            <w:pPr>
              <w:jc w:val="left"/>
              <w:rPr/>
            </w:pPr>
            <w:r>
              <w:rPr>
                <w:rFonts w:ascii="Times New Roman" w:cs="Times New Roman" w:eastAsia="Times New Roman" w:hAnsi="Times New Roman"/>
                <w:sz w:val="18"/>
                <w:szCs w:val="18"/>
                <w:rtl w:val="0"/>
              </w:rPr>
              <w:t xml:space="preserve">Heuristic (cross-corroborated)</w:t>
            </w:r>
          </w:p>
        </w:tc>
        <w:tc>
          <w:tcPr>
            <w:tcW w:w="2100" w:type="dxa"/>
            <w:vAlign w:val="center"/>
          </w:tcPr>
          <w:p>
            <w:pPr>
              <w:jc w:val="left"/>
              <w:rPr/>
            </w:pPr>
            <w:r>
              <w:rPr>
                <w:rFonts w:ascii="Times New Roman" w:cs="Times New Roman" w:eastAsia="Times New Roman" w:hAnsi="Times New Roman"/>
                <w:sz w:val="18"/>
                <w:szCs w:val="18"/>
                <w:rtl w:val="0"/>
              </w:rPr>
              <w:t xml:space="preserve">Independent cross-correlation of trunk VLAN sets, port descriptions, management-subnet adjacency</w:t>
            </w:r>
          </w:p>
        </w:tc>
        <w:tc>
          <w:tcPr>
            <w:tcW w:w="1700" w:type="dxa"/>
            <w:vAlign w:val="center"/>
          </w:tcPr>
          <w:p>
            <w:pPr>
              <w:jc w:val="left"/>
              <w:rPr/>
            </w:pPr>
            <w:r>
              <w:rPr>
                <w:rFonts w:ascii="Times New Roman" w:cs="Times New Roman" w:eastAsia="Times New Roman" w:hAnsi="Times New Roman"/>
                <w:sz w:val="18"/>
                <w:szCs w:val="18"/>
                <w:rtl w:val="0"/>
              </w:rPr>
              <w:t xml:space="preserve">Inter-switch trunk deduced from matching VLAN transport sets</w:t>
            </w:r>
          </w:p>
        </w:tc>
      </w:tr>
      <w:tr>
        <w:tc>
          <w:tcPr>
            <w:tcW w:w="1100" w:type="dxa"/>
            <w:vAlign w:val="center"/>
          </w:tcPr>
          <w:p>
            <w:pPr>
              <w:jc w:val="left"/>
              <w:rPr/>
            </w:pPr>
            <w:r>
              <w:rPr>
                <w:rFonts w:ascii="Times New Roman" w:cs="Times New Roman" w:eastAsia="Times New Roman" w:hAnsi="Times New Roman"/>
                <w:sz w:val="18"/>
                <w:szCs w:val="18"/>
                <w:rtl w:val="0"/>
              </w:rPr>
              <w:t xml:space="preserve">Finding (anomaly)</w:t>
            </w:r>
          </w:p>
        </w:tc>
        <w:tc>
          <w:tcPr>
            <w:tcW w:w="2100" w:type="dxa"/>
            <w:vAlign w:val="center"/>
          </w:tcPr>
          <w:p>
            <w:pPr>
              <w:jc w:val="left"/>
              <w:rPr/>
            </w:pPr>
            <w:r>
              <w:rPr>
                <w:rFonts w:ascii="Times New Roman" w:cs="Times New Roman" w:eastAsia="Times New Roman" w:hAnsi="Times New Roman"/>
                <w:sz w:val="18"/>
                <w:szCs w:val="18"/>
                <w:rtl w:val="0"/>
              </w:rPr>
              <w:t xml:space="preserve">Static rule violation in parsed configuration</w:t>
            </w:r>
          </w:p>
        </w:tc>
        <w:tc>
          <w:tcPr>
            <w:tcW w:w="1700" w:type="dxa"/>
            <w:vAlign w:val="center"/>
          </w:tcPr>
          <w:p>
            <w:pPr>
              <w:jc w:val="left"/>
              <w:rPr/>
            </w:pPr>
            <w:r>
              <w:rPr>
                <w:rFonts w:ascii="Times New Roman" w:cs="Times New Roman" w:eastAsia="Times New Roman" w:hAnsi="Times New Roman"/>
                <w:sz w:val="18"/>
                <w:szCs w:val="18"/>
                <w:rtl w:val="0"/>
              </w:rPr>
              <w:t xml:space="preserve">SVI with out-of-range address; LAG without members; inventory mismatch</w:t>
            </w:r>
          </w:p>
        </w:tc>
      </w:tr>
    </w:tbl>
    <w:p>
      <w:pPr>
        <w:rPr/>
      </w:pPr>
    </w:p>
    <w:p>
      <w:pPr>
        <w:rPr/>
      </w:pPr>
    </w:p>
    <w:p>
      <w:pPr>
        <w:keepNext w:val="1"/>
        <w:jc w:val="left"/>
        <w:rPr>
          <w:b w:val="1"/>
          <w:bCs w:val="1"/>
        </w:rPr>
      </w:pPr>
      <w:r>
        <w:rPr>
          <w:rFonts w:ascii="Times New Roman" w:cs="Times New Roman" w:eastAsia="Times New Roman" w:hAnsi="Times New Roman"/>
          <w:b w:val="1"/>
          <w:bCs w:val="1"/>
          <w:sz w:val="20"/>
          <w:szCs w:val="20"/>
          <w:rtl w:val="0"/>
        </w:rPr>
        <w:t xml:space="preserve">5. IMPLEMENTATION</w:t>
      </w:r>
    </w:p>
    <w:p>
      <w:pPr>
        <w:rPr/>
      </w:pPr>
    </w:p>
    <w:p>
      <w:pPr>
        <w:keepNext w:val="1"/>
        <w:jc w:val="left"/>
        <w:rPr>
          <w:b w:val="1"/>
          <w:bCs w:val="1"/>
        </w:rPr>
      </w:pPr>
      <w:r>
        <w:rPr>
          <w:rFonts w:ascii="Times New Roman" w:cs="Times New Roman" w:eastAsia="Times New Roman" w:hAnsi="Times New Roman"/>
          <w:b w:val="1"/>
          <w:bCs w:val="1"/>
          <w:sz w:val="20"/>
          <w:szCs w:val="20"/>
          <w:rtl w:val="0"/>
        </w:rPr>
        <w:t xml:space="preserve">5.1 Collection workflow with active protection</w:t>
      </w:r>
    </w:p>
    <w:p>
      <w:pPr>
        <w:rPr/>
      </w:pPr>
    </w:p>
    <w:p>
      <w:pPr>
        <w:ind w:firstLine="202"/>
        <w:rPr/>
      </w:pPr>
      <w:r>
        <w:rPr>
          <w:rFonts w:ascii="Times New Roman" w:cs="Times New Roman" w:eastAsia="Times New Roman" w:hAnsi="Times New Roman"/>
          <w:sz w:val="20"/>
          <w:szCs w:val="20"/>
          <w:rtl w:val="0"/>
        </w:rPr>
        <w:t xml:space="preserve">Figure 2 depicts the end-to-end collection workflow. For each node, the collector first consults the quarantine module: after two consecutive authentication failures, all access attempts using that credential are automatically suspended on every node linked to it, eliminating the risk of a mass lockout of institutional accounts under local AAA policies. If the credential is enabled, the corresponding driver opens an adaptive SSH session - applying ssh_compat promotion where required - handles in-band authentication and privilege elevation, disables paging, and captures the full configuration dump. The dump is then passed through the volatile-pattern filter and validated against a strict end-of-file marker; truncated captures are rejected rather than committed, so a partial transfer can never overwrite a previously functional version. Valid configurations are committed transactionally to the GitStore under a filesystem lock. Collection across nodes uses controlled concurrency with per-device serialization, preventing management-CPU overload on older switches.</w:t>
      </w:r>
    </w:p>
    <w:p>
      <w:pPr>
        <w:rPr/>
      </w:pPr>
    </w:p>
    <w:p>
      <w:pPr>
        <w:jc w:val="center"/>
        <w:rPr/>
      </w:pPr>
      <w:r>
        <w:rPr>
          <w:rtl w:val="0"/>
        </w:rPr>
        <w:drawing>
          <wp:inline distT="0" distB="0" distL="0" distR="0">
            <wp:extent cx="3100000" cy="1980127"/>
            <wp:effectExtent b="0" l="0" r="0" t="0"/>
            <wp:docPr id="101" name="figure2_workflow.png"/>
            <a:graphic>
              <a:graphicData uri="http://schemas.openxmlformats.org/drawingml/2006/picture">
                <pic:pic>
                  <pic:nvPicPr>
                    <pic:cNvPr id="101" name="figure2_workflow.png"/>
                    <pic:cNvPicPr/>
                  </pic:nvPicPr>
                  <pic:blipFill>
                    <a:blip r:embed="rId101"/>
                    <a:stretch>
                      <a:fillRect/>
                    </a:stretch>
                  </pic:blipFill>
                  <pic:spPr>
                    <a:xfrm>
                      <a:off x="0" y="0"/>
                      <a:ext cx="3100000" cy="1980127"/>
                    </a:xfrm>
                    <a:prstGeom prst="rect">
                      <a:avLst/>
                    </a:prstGeom>
                  </pic:spPr>
                </pic:pic>
              </a:graphicData>
            </a:graphic>
          </wp:inline>
        </w:drawing>
      </w:r>
    </w:p>
    <w:p>
      <w:pPr>
        <w:jc w:val="center"/>
        <w:rPr/>
      </w:pPr>
      <w:r>
        <w:rPr>
          <w:rFonts w:ascii="Times New Roman" w:cs="Times New Roman" w:eastAsia="Times New Roman" w:hAnsi="Times New Roman"/>
          <w:b w:val="1"/>
          <w:bCs w:val="1"/>
          <w:sz w:val="20"/>
          <w:szCs w:val="20"/>
          <w:rtl w:val="0"/>
        </w:rPr>
        <w:t xml:space="preserve">Figure 2. </w:t>
      </w:r>
      <w:r>
        <w:rPr>
          <w:rFonts w:ascii="Times New Roman" w:cs="Times New Roman" w:eastAsia="Times New Roman" w:hAnsi="Times New Roman"/>
          <w:sz w:val="20"/>
          <w:szCs w:val="20"/>
          <w:rtl w:val="0"/>
        </w:rPr>
        <w:t xml:space="preserve">Collection workflow with credential quarantine and truncation rejection</w:t>
      </w:r>
    </w:p>
    <w:p>
      <w:pPr>
        <w:rPr/>
      </w:pPr>
    </w:p>
    <w:p>
      <w:pPr>
        <w:keepNext w:val="1"/>
        <w:jc w:val="left"/>
        <w:rPr>
          <w:b w:val="1"/>
          <w:bCs w:val="1"/>
        </w:rPr>
      </w:pPr>
      <w:r>
        <w:rPr>
          <w:rFonts w:ascii="Times New Roman" w:cs="Times New Roman" w:eastAsia="Times New Roman" w:hAnsi="Times New Roman"/>
          <w:b w:val="1"/>
          <w:bCs w:val="1"/>
          <w:sz w:val="20"/>
          <w:szCs w:val="20"/>
          <w:rtl w:val="0"/>
        </w:rPr>
        <w:t xml:space="preserve">5.2 Side-by-side difference engine</w:t>
      </w:r>
    </w:p>
    <w:p>
      <w:pPr>
        <w:rPr/>
      </w:pPr>
    </w:p>
    <w:p>
      <w:pPr>
        <w:ind w:firstLine="202"/>
        <w:rPr/>
      </w:pPr>
      <w:r>
        <w:rPr>
          <w:rFonts w:ascii="Times New Roman" w:cs="Times New Roman" w:eastAsia="Times New Roman" w:hAnsi="Times New Roman"/>
          <w:sz w:val="20"/>
          <w:szCs w:val="20"/>
          <w:rtl w:val="0"/>
        </w:rPr>
        <w:t xml:space="preserve">On top of the Git history, a comparison engine renders parallel (side-by-side) views of any two versions of a device's configuration. Beyond classic line-based differencing [15, 16], the engine tokenizes changed lines at the word and parameter level, so the operator immediately sees the exact parameter that changed - an SNMP community, a VLAN identifier, an ACL entry - rather than scanning a unified plain-text diff.</w:t>
      </w:r>
    </w:p>
    <w:p>
      <w:pPr>
        <w:rPr/>
      </w:pPr>
    </w:p>
    <w:p>
      <w:pPr>
        <w:keepNext w:val="1"/>
        <w:jc w:val="left"/>
        <w:rPr>
          <w:b w:val="1"/>
          <w:bCs w:val="1"/>
        </w:rPr>
      </w:pPr>
      <w:r>
        <w:rPr>
          <w:rFonts w:ascii="Times New Roman" w:cs="Times New Roman" w:eastAsia="Times New Roman" w:hAnsi="Times New Roman"/>
          <w:b w:val="1"/>
          <w:bCs w:val="1"/>
          <w:sz w:val="20"/>
          <w:szCs w:val="20"/>
          <w:rtl w:val="0"/>
        </w:rPr>
        <w:t xml:space="preserve">5.3 Digital twin (fake_device.py)</w:t>
      </w:r>
    </w:p>
    <w:p>
      <w:pPr>
        <w:rPr/>
      </w:pPr>
    </w:p>
    <w:p>
      <w:pPr>
        <w:ind w:firstLine="202"/>
        <w:rPr/>
      </w:pPr>
      <w:r>
        <w:rPr>
          <w:rFonts w:ascii="Times New Roman" w:cs="Times New Roman" w:eastAsia="Times New Roman" w:hAnsi="Times New Roman"/>
          <w:sz w:val="20"/>
          <w:szCs w:val="20"/>
          <w:rtl w:val="0"/>
        </w:rPr>
        <w:t xml:space="preserve">The device simulator reproduces, over a real SSH server, the behavioral anomalies observed in the production park: in-band login dialogues, forced paging with interactive "more" prompts, and two-phase privilege elevation with secondary passwords. Integration tests run the full collection pipeline against the simulator, which allows regression certification of every driver - including those for families with low physical availability - without touching the production network. The system formally distinguishes drivers validated in production from drivers implemented from vendor specifications and validated in the simulator; the latter undergo a supervised visual-validation phase on first live deployment (Table 1).</w:t>
      </w:r>
    </w:p>
    <w:p>
      <w:pPr>
        <w:rPr/>
      </w:pPr>
    </w:p>
    <w:p>
      <w:pPr>
        <w:keepNext w:val="1"/>
        <w:jc w:val="left"/>
        <w:rPr>
          <w:b w:val="1"/>
          <w:bCs w:val="1"/>
        </w:rPr>
      </w:pPr>
      <w:r>
        <w:rPr>
          <w:rFonts w:ascii="Times New Roman" w:cs="Times New Roman" w:eastAsia="Times New Roman" w:hAnsi="Times New Roman"/>
          <w:b w:val="1"/>
          <w:bCs w:val="1"/>
          <w:sz w:val="20"/>
          <w:szCs w:val="20"/>
          <w:rtl w:val="0"/>
        </w:rPr>
        <w:t xml:space="preserve">5.4 User interfaces</w:t>
      </w:r>
    </w:p>
    <w:p>
      <w:pPr>
        <w:rPr/>
      </w:pPr>
    </w:p>
    <w:p>
      <w:pPr>
        <w:ind w:firstLine="202"/>
        <w:rPr/>
      </w:pPr>
      <w:r>
        <w:rPr>
          <w:rFonts w:ascii="Times New Roman" w:cs="Times New Roman" w:eastAsia="Times New Roman" w:hAnsi="Times New Roman"/>
          <w:sz w:val="20"/>
          <w:szCs w:val="20"/>
          <w:rtl w:val="0"/>
        </w:rPr>
        <w:t xml:space="preserve">All functions are exposed through two clients that consume the same internal services: a native SPA web interface - implemented with standard web components, without heavy front-end frameworks or build chains - providing the version browser, side-by-side diff viewer, topology map, and findings report; and a CLI console for headless operation, scripted execution, and integration with scheduled tasks.</w:t>
      </w:r>
    </w:p>
    <w:p>
      <w:pPr>
        <w:rPr/>
      </w:pPr>
    </w:p>
    <w:p>
      <w:pPr>
        <w:rPr/>
      </w:pPr>
    </w:p>
    <w:p>
      <w:pPr>
        <w:keepNext w:val="1"/>
        <w:jc w:val="left"/>
        <w:rPr>
          <w:b w:val="1"/>
          <w:bCs w:val="1"/>
        </w:rPr>
      </w:pPr>
      <w:r>
        <w:rPr>
          <w:rFonts w:ascii="Times New Roman" w:cs="Times New Roman" w:eastAsia="Times New Roman" w:hAnsi="Times New Roman"/>
          <w:b w:val="1"/>
          <w:bCs w:val="1"/>
          <w:sz w:val="20"/>
          <w:szCs w:val="20"/>
          <w:rtl w:val="0"/>
        </w:rPr>
        <w:t xml:space="preserve">6. RESULTS</w:t>
      </w:r>
    </w:p>
    <w:p>
      <w:pPr>
        <w:rPr/>
      </w:pPr>
    </w:p>
    <w:p>
      <w:pPr>
        <w:keepNext w:val="1"/>
        <w:jc w:val="left"/>
        <w:rPr>
          <w:b w:val="1"/>
          <w:bCs w:val="1"/>
        </w:rPr>
      </w:pPr>
      <w:r>
        <w:rPr>
          <w:rFonts w:ascii="Times New Roman" w:cs="Times New Roman" w:eastAsia="Times New Roman" w:hAnsi="Times New Roman"/>
          <w:b w:val="1"/>
          <w:bCs w:val="1"/>
          <w:sz w:val="20"/>
          <w:szCs w:val="20"/>
          <w:rtl w:val="0"/>
        </w:rPr>
        <w:t xml:space="preserve">6.1 Operational impact</w:t>
      </w:r>
    </w:p>
    <w:p>
      <w:pPr>
        <w:rPr/>
      </w:pPr>
    </w:p>
    <w:p>
      <w:pPr>
        <w:ind w:firstLine="202"/>
        <w:rPr/>
      </w:pPr>
      <w:r>
        <w:rPr>
          <w:rFonts w:ascii="Times New Roman" w:cs="Times New Roman" w:eastAsia="Times New Roman" w:hAnsi="Times New Roman"/>
          <w:sz w:val="20"/>
          <w:szCs w:val="20"/>
          <w:rtl w:val="0"/>
        </w:rPr>
        <w:t xml:space="preserve">Table 3 contrasts the key operational indicators before and after the deployment of the platform in the institutional network. Automated figures were obtained from the platform's own execution logs during the pilot phase: per-device times correspond to complete collection cycles (session establishment, authentication, capture, volatile filtering, and commit) across the device families of Table 1, and the recovery time corresponds to retrieving a device's last committed configuration from the version store and reapplying it. Figures for the traditional method reflect the documented operational practice of the institution prior to the deployment. These figures characterize the observed range across the deployment's device population during a single institutional pilot, rather than a controlled multi-trial statistical sample with reported sample size and dispersion; Section 7.1 discusses this methodological gap and the protocol required to close it.</w:t>
      </w:r>
    </w:p>
    <w:p>
      <w:pPr>
        <w:rPr/>
      </w:pPr>
    </w:p>
    <w:p>
      <w:pPr>
        <w:jc w:val="center"/>
        <w:rPr/>
      </w:pPr>
      <w:r>
        <w:rPr>
          <w:rFonts w:ascii="Times New Roman" w:cs="Times New Roman" w:eastAsia="Times New Roman" w:hAnsi="Times New Roman"/>
          <w:b w:val="1"/>
          <w:bCs w:val="1"/>
          <w:sz w:val="20"/>
          <w:szCs w:val="20"/>
          <w:rtl w:val="0"/>
        </w:rPr>
        <w:t xml:space="preserve">Table 3. </w:t>
      </w:r>
      <w:r>
        <w:rPr>
          <w:rFonts w:ascii="Times New Roman" w:cs="Times New Roman" w:eastAsia="Times New Roman" w:hAnsi="Times New Roman"/>
          <w:sz w:val="20"/>
          <w:szCs w:val="20"/>
          <w:rtl w:val="0"/>
        </w:rPr>
        <w:t xml:space="preserve">Operational impact metrics of the deployed platform</w:t>
      </w:r>
    </w:p>
    <w:p>
      <w:pPr>
        <w:rPr/>
      </w:pPr>
    </w:p>
    <w:tbl>
      <w:tblPr>
        <w:tblStyle w:val="Table4"/>
        <w:tblW w:w="4900" w:type="dxa"/>
        <w:jc w:val="center"/>
        <w:tblBorders>
          <w:top w:color="000000" w:space="0" w:sz="4" w:val="single"/>
          <w:bottom w:color="000000" w:space="0" w:sz="4" w:val="single"/>
          <w:insideH w:color="000000" w:space="0" w:sz="4" w:val="single"/>
        </w:tblBorders>
        <w:tblLayout w:type="fixed"/>
        <w:tblLook w:val="0000"/>
      </w:tblPr>
      <w:tblGrid>
        <w:gridCol w:w="1400"/>
        <w:gridCol w:w="1750"/>
        <w:gridCol w:w="1750"/>
      </w:tblGrid>
      <w:tr>
        <w:tc>
          <w:tcPr>
            <w:tcW w:w="1400" w:type="dxa"/>
            <w:vAlign w:val="center"/>
          </w:tcPr>
          <w:p>
            <w:pPr>
              <w:jc w:val="left"/>
              <w:rPr/>
            </w:pPr>
            <w:r>
              <w:rPr>
                <w:rFonts w:ascii="Times New Roman" w:cs="Times New Roman" w:eastAsia="Times New Roman" w:hAnsi="Times New Roman"/>
                <w:b w:val="1"/>
                <w:bCs w:val="1"/>
                <w:sz w:val="18"/>
                <w:szCs w:val="18"/>
                <w:rtl w:val="0"/>
              </w:rPr>
              <w:t xml:space="preserve">Performance indicator</w:t>
            </w:r>
          </w:p>
        </w:tc>
        <w:tc>
          <w:tcPr>
            <w:tcW w:w="1750" w:type="dxa"/>
            <w:vAlign w:val="center"/>
          </w:tcPr>
          <w:p>
            <w:pPr>
              <w:jc w:val="left"/>
              <w:rPr/>
            </w:pPr>
            <w:r>
              <w:rPr>
                <w:rFonts w:ascii="Times New Roman" w:cs="Times New Roman" w:eastAsia="Times New Roman" w:hAnsi="Times New Roman"/>
                <w:b w:val="1"/>
                <w:bCs w:val="1"/>
                <w:sz w:val="18"/>
                <w:szCs w:val="18"/>
                <w:rtl w:val="0"/>
              </w:rPr>
              <w:t xml:space="preserve">Traditional (manual) method</w:t>
            </w:r>
          </w:p>
        </w:tc>
        <w:tc>
          <w:tcPr>
            <w:tcW w:w="1750" w:type="dxa"/>
            <w:vAlign w:val="center"/>
          </w:tcPr>
          <w:p>
            <w:pPr>
              <w:jc w:val="left"/>
              <w:rPr/>
            </w:pPr>
            <w:r>
              <w:rPr>
                <w:rFonts w:ascii="Times New Roman" w:cs="Times New Roman" w:eastAsia="Times New Roman" w:hAnsi="Times New Roman"/>
                <w:b w:val="1"/>
                <w:bCs w:val="1"/>
                <w:sz w:val="18"/>
                <w:szCs w:val="18"/>
                <w:rtl w:val="0"/>
              </w:rPr>
              <w:t xml:space="preserve">With Auto-Redes III (automated)</w:t>
            </w:r>
          </w:p>
        </w:tc>
      </w:tr>
      <w:tr>
        <w:tc>
          <w:tcPr>
            <w:tcW w:w="1400" w:type="dxa"/>
            <w:vAlign w:val="center"/>
          </w:tcPr>
          <w:p>
            <w:pPr>
              <w:jc w:val="left"/>
              <w:rPr/>
            </w:pPr>
            <w:r>
              <w:rPr>
                <w:rFonts w:ascii="Times New Roman" w:cs="Times New Roman" w:eastAsia="Times New Roman" w:hAnsi="Times New Roman"/>
                <w:sz w:val="18"/>
                <w:szCs w:val="18"/>
                <w:rtl w:val="0"/>
              </w:rPr>
              <w:t xml:space="preserve">Backup time per device</w:t>
            </w:r>
          </w:p>
        </w:tc>
        <w:tc>
          <w:tcPr>
            <w:tcW w:w="1750" w:type="dxa"/>
            <w:vAlign w:val="center"/>
          </w:tcPr>
          <w:p>
            <w:pPr>
              <w:jc w:val="left"/>
              <w:rPr/>
            </w:pPr>
            <w:r>
              <w:rPr>
                <w:rFonts w:ascii="Times New Roman" w:cs="Times New Roman" w:eastAsia="Times New Roman" w:hAnsi="Times New Roman"/>
                <w:sz w:val="18"/>
                <w:szCs w:val="18"/>
                <w:rtl w:val="0"/>
              </w:rPr>
              <w:t xml:space="preserve">5-15 min per node (interactive access, manual copy and save)</w:t>
            </w:r>
          </w:p>
        </w:tc>
        <w:tc>
          <w:tcPr>
            <w:tcW w:w="1750" w:type="dxa"/>
            <w:vAlign w:val="center"/>
          </w:tcPr>
          <w:p>
            <w:pPr>
              <w:jc w:val="left"/>
              <w:rPr/>
            </w:pPr>
            <w:r>
              <w:rPr>
                <w:rFonts w:ascii="Times New Roman" w:cs="Times New Roman" w:eastAsia="Times New Roman" w:hAnsi="Times New Roman"/>
                <w:sz w:val="18"/>
                <w:szCs w:val="18"/>
                <w:rtl w:val="0"/>
              </w:rPr>
              <w:t xml:space="preserve">15-45 s per node (capture, volatile filtering, and commit)</w:t>
            </w:r>
          </w:p>
        </w:tc>
      </w:tr>
      <w:tr>
        <w:tc>
          <w:tcPr>
            <w:tcW w:w="1400" w:type="dxa"/>
            <w:vAlign w:val="center"/>
          </w:tcPr>
          <w:p>
            <w:pPr>
              <w:jc w:val="left"/>
              <w:rPr/>
            </w:pPr>
            <w:r>
              <w:rPr>
                <w:rFonts w:ascii="Times New Roman" w:cs="Times New Roman" w:eastAsia="Times New Roman" w:hAnsi="Times New Roman"/>
                <w:sz w:val="18"/>
                <w:szCs w:val="18"/>
                <w:rtl w:val="0"/>
              </w:rPr>
              <w:t xml:space="preserve">Full-network backup time</w:t>
            </w:r>
          </w:p>
        </w:tc>
        <w:tc>
          <w:tcPr>
            <w:tcW w:w="1750" w:type="dxa"/>
            <w:vAlign w:val="center"/>
          </w:tcPr>
          <w:p>
            <w:pPr>
              <w:jc w:val="left"/>
              <w:rPr/>
            </w:pPr>
            <w:r>
              <w:rPr>
                <w:rFonts w:ascii="Times New Roman" w:cs="Times New Roman" w:eastAsia="Times New Roman" w:hAnsi="Times New Roman"/>
                <w:sz w:val="18"/>
                <w:szCs w:val="18"/>
                <w:rtl w:val="0"/>
              </w:rPr>
              <w:t xml:space="preserve">Several hours (executed sporadically)</w:t>
            </w:r>
          </w:p>
        </w:tc>
        <w:tc>
          <w:tcPr>
            <w:tcW w:w="1750" w:type="dxa"/>
            <w:vAlign w:val="center"/>
          </w:tcPr>
          <w:p>
            <w:pPr>
              <w:jc w:val="left"/>
              <w:rPr/>
            </w:pPr>
            <w:r>
              <w:rPr>
                <w:rFonts w:ascii="Times New Roman" w:cs="Times New Roman" w:eastAsia="Times New Roman" w:hAnsi="Times New Roman"/>
                <w:sz w:val="18"/>
                <w:szCs w:val="18"/>
                <w:rtl w:val="0"/>
              </w:rPr>
              <w:t xml:space="preserve">&lt; 4 min, unattended</w:t>
            </w:r>
          </w:p>
        </w:tc>
      </w:tr>
      <w:tr>
        <w:tc>
          <w:tcPr>
            <w:tcW w:w="1400" w:type="dxa"/>
            <w:vAlign w:val="center"/>
          </w:tcPr>
          <w:p>
            <w:pPr>
              <w:jc w:val="left"/>
              <w:rPr/>
            </w:pPr>
            <w:r>
              <w:rPr>
                <w:rFonts w:ascii="Times New Roman" w:cs="Times New Roman" w:eastAsia="Times New Roman" w:hAnsi="Times New Roman"/>
                <w:sz w:val="18"/>
                <w:szCs w:val="18"/>
                <w:rtl w:val="0"/>
              </w:rPr>
              <w:t xml:space="preserve">Mean time to recovery (MTTR)</w:t>
            </w:r>
          </w:p>
        </w:tc>
        <w:tc>
          <w:tcPr>
            <w:tcW w:w="1750" w:type="dxa"/>
            <w:vAlign w:val="center"/>
          </w:tcPr>
          <w:p>
            <w:pPr>
              <w:jc w:val="left"/>
              <w:rPr/>
            </w:pPr>
            <w:r>
              <w:rPr>
                <w:rFonts w:ascii="Times New Roman" w:cs="Times New Roman" w:eastAsia="Times New Roman" w:hAnsi="Times New Roman"/>
                <w:sz w:val="18"/>
                <w:szCs w:val="18"/>
                <w:rtl w:val="0"/>
              </w:rPr>
              <w:t xml:space="preserve">Hours to days (manual reconstruction or search of historical backups)</w:t>
            </w:r>
          </w:p>
        </w:tc>
        <w:tc>
          <w:tcPr>
            <w:tcW w:w="1750" w:type="dxa"/>
            <w:vAlign w:val="center"/>
          </w:tcPr>
          <w:p>
            <w:pPr>
              <w:jc w:val="left"/>
              <w:rPr/>
            </w:pPr>
            <w:r>
              <w:rPr>
                <w:rFonts w:ascii="Times New Roman" w:cs="Times New Roman" w:eastAsia="Times New Roman" w:hAnsi="Times New Roman"/>
                <w:sz w:val="18"/>
                <w:szCs w:val="18"/>
                <w:rtl w:val="0"/>
              </w:rPr>
              <w:t xml:space="preserve">&lt; 2 min (immediate retrieval of the exact functional version)</w:t>
            </w:r>
          </w:p>
        </w:tc>
      </w:tr>
      <w:tr>
        <w:tc>
          <w:tcPr>
            <w:tcW w:w="1400" w:type="dxa"/>
            <w:vAlign w:val="center"/>
          </w:tcPr>
          <w:p>
            <w:pPr>
              <w:jc w:val="left"/>
              <w:rPr/>
            </w:pPr>
            <w:r>
              <w:rPr>
                <w:rFonts w:ascii="Times New Roman" w:cs="Times New Roman" w:eastAsia="Times New Roman" w:hAnsi="Times New Roman"/>
                <w:sz w:val="18"/>
                <w:szCs w:val="18"/>
                <w:rtl w:val="0"/>
              </w:rPr>
              <w:t xml:space="preserve">Noise / false positives in version history</w:t>
            </w:r>
          </w:p>
        </w:tc>
        <w:tc>
          <w:tcPr>
            <w:tcW w:w="1750" w:type="dxa"/>
            <w:vAlign w:val="center"/>
          </w:tcPr>
          <w:p>
            <w:pPr>
              <w:jc w:val="left"/>
              <w:rPr/>
            </w:pPr>
            <w:r>
              <w:rPr>
                <w:rFonts w:ascii="Times New Roman" w:cs="Times New Roman" w:eastAsia="Times New Roman" w:hAnsi="Times New Roman"/>
                <w:sz w:val="18"/>
                <w:szCs w:val="18"/>
                <w:rtl w:val="0"/>
              </w:rPr>
              <w:t xml:space="preserve">Not applicable (no formal version control)</w:t>
            </w:r>
          </w:p>
        </w:tc>
        <w:tc>
          <w:tcPr>
            <w:tcW w:w="1750" w:type="dxa"/>
            <w:vAlign w:val="center"/>
          </w:tcPr>
          <w:p>
            <w:pPr>
              <w:jc w:val="left"/>
              <w:rPr/>
            </w:pPr>
            <w:r>
              <w:rPr>
                <w:rFonts w:ascii="Times New Roman" w:cs="Times New Roman" w:eastAsia="Times New Roman" w:hAnsi="Times New Roman"/>
                <w:sz w:val="18"/>
                <w:szCs w:val="18"/>
                <w:rtl w:val="0"/>
              </w:rPr>
              <w:t xml:space="preserve">0% false commits, due to volatile-pattern normalization</w:t>
            </w:r>
          </w:p>
        </w:tc>
      </w:tr>
      <w:tr>
        <w:tc>
          <w:tcPr>
            <w:tcW w:w="1400" w:type="dxa"/>
            <w:vAlign w:val="center"/>
          </w:tcPr>
          <w:p>
            <w:pPr>
              <w:jc w:val="left"/>
              <w:rPr/>
            </w:pPr>
            <w:r>
              <w:rPr>
                <w:rFonts w:ascii="Times New Roman" w:cs="Times New Roman" w:eastAsia="Times New Roman" w:hAnsi="Times New Roman"/>
                <w:sz w:val="18"/>
                <w:szCs w:val="18"/>
                <w:rtl w:val="0"/>
              </w:rPr>
              <w:t xml:space="preserve">Traceability and auditability</w:t>
            </w:r>
          </w:p>
        </w:tc>
        <w:tc>
          <w:tcPr>
            <w:tcW w:w="1750" w:type="dxa"/>
            <w:vAlign w:val="center"/>
          </w:tcPr>
          <w:p>
            <w:pPr>
              <w:jc w:val="left"/>
              <w:rPr/>
            </w:pPr>
            <w:r>
              <w:rPr>
                <w:rFonts w:ascii="Times New Roman" w:cs="Times New Roman" w:eastAsia="Times New Roman" w:hAnsi="Times New Roman"/>
                <w:sz w:val="18"/>
                <w:szCs w:val="18"/>
                <w:rtl w:val="0"/>
              </w:rPr>
              <w:t xml:space="preserve">None or fragmentary</w:t>
            </w:r>
          </w:p>
        </w:tc>
        <w:tc>
          <w:tcPr>
            <w:tcW w:w="1750" w:type="dxa"/>
            <w:vAlign w:val="center"/>
          </w:tcPr>
          <w:p>
            <w:pPr>
              <w:jc w:val="left"/>
              <w:rPr/>
            </w:pPr>
            <w:r>
              <w:rPr>
                <w:rFonts w:ascii="Times New Roman" w:cs="Times New Roman" w:eastAsia="Times New Roman" w:hAnsi="Times New Roman"/>
                <w:sz w:val="18"/>
                <w:szCs w:val="18"/>
                <w:rtl w:val="0"/>
              </w:rPr>
              <w:t xml:space="preserve">100% auditable, with a chronological record of every configuration change</w:t>
            </w:r>
          </w:p>
        </w:tc>
      </w:tr>
    </w:tbl>
    <w:p>
      <w:pPr>
        <w:rPr/>
      </w:pPr>
    </w:p>
    <w:p>
      <w:pPr>
        <w:keepNext w:val="1"/>
        <w:jc w:val="left"/>
        <w:rPr>
          <w:b w:val="1"/>
          <w:bCs w:val="1"/>
        </w:rPr>
      </w:pPr>
      <w:r>
        <w:rPr>
          <w:rFonts w:ascii="Times New Roman" w:cs="Times New Roman" w:eastAsia="Times New Roman" w:hAnsi="Times New Roman"/>
          <w:b w:val="1"/>
          <w:bCs w:val="1"/>
          <w:sz w:val="20"/>
          <w:szCs w:val="20"/>
          <w:rtl w:val="0"/>
        </w:rPr>
        <w:t xml:space="preserve">6.2 Comparison with generic tooling</w:t>
      </w:r>
    </w:p>
    <w:p>
      <w:pPr>
        <w:rPr/>
      </w:pPr>
    </w:p>
    <w:p>
      <w:pPr>
        <w:ind w:firstLine="202"/>
        <w:rPr/>
      </w:pPr>
      <w:r>
        <w:rPr>
          <w:rFonts w:ascii="Times New Roman" w:cs="Times New Roman" w:eastAsia="Times New Roman" w:hAnsi="Times New Roman"/>
          <w:sz w:val="20"/>
          <w:szCs w:val="20"/>
          <w:rtl w:val="0"/>
        </w:rPr>
        <w:t xml:space="preserve">During the initial phase, widely adopted tools - particularly Oxidized [1] - were evaluated against the requirements of the legacy park. Table 4 synthesizes the technical rationale that motivated a purpose-built solution. This comparison is qualitative rather than measured; Section 7.1 explains why and outlines a concrete protocol for a quantitative, timed comparison restricted to the modern segment of the network.</w:t>
      </w:r>
    </w:p>
    <w:p>
      <w:pPr>
        <w:rPr/>
      </w:pPr>
    </w:p>
    <w:p>
      <w:pPr>
        <w:jc w:val="center"/>
        <w:rPr/>
      </w:pPr>
      <w:r>
        <w:rPr>
          <w:rFonts w:ascii="Times New Roman" w:cs="Times New Roman" w:eastAsia="Times New Roman" w:hAnsi="Times New Roman"/>
          <w:b w:val="1"/>
          <w:bCs w:val="1"/>
          <w:sz w:val="20"/>
          <w:szCs w:val="20"/>
          <w:rtl w:val="0"/>
        </w:rPr>
        <w:t xml:space="preserve">Table 4. </w:t>
      </w:r>
      <w:r>
        <w:rPr>
          <w:rFonts w:ascii="Times New Roman" w:cs="Times New Roman" w:eastAsia="Times New Roman" w:hAnsi="Times New Roman"/>
          <w:sz w:val="20"/>
          <w:szCs w:val="20"/>
          <w:rtl w:val="0"/>
        </w:rPr>
        <w:t xml:space="preserve">Technical comparison with the open-source reference tool</w:t>
      </w:r>
    </w:p>
    <w:p>
      <w:pPr>
        <w:rPr/>
      </w:pPr>
    </w:p>
    <w:tbl>
      <w:tblPr>
        <w:tblStyle w:val="Table4"/>
        <w:tblW w:w="4900" w:type="dxa"/>
        <w:jc w:val="center"/>
        <w:tblBorders>
          <w:top w:color="000000" w:space="0" w:sz="4" w:val="single"/>
          <w:bottom w:color="000000" w:space="0" w:sz="4" w:val="single"/>
          <w:insideH w:color="000000" w:space="0" w:sz="4" w:val="single"/>
        </w:tblBorders>
        <w:tblLayout w:type="fixed"/>
        <w:tblLook w:val="0000"/>
      </w:tblPr>
      <w:tblGrid>
        <w:gridCol w:w="1150"/>
        <w:gridCol w:w="1250"/>
        <w:gridCol w:w="1250"/>
        <w:gridCol w:w="1250"/>
      </w:tblGrid>
      <w:tr>
        <w:tc>
          <w:tcPr>
            <w:tcW w:w="1150" w:type="dxa"/>
            <w:vAlign w:val="center"/>
          </w:tcPr>
          <w:p>
            <w:pPr>
              <w:jc w:val="left"/>
              <w:rPr/>
            </w:pPr>
            <w:r>
              <w:rPr>
                <w:rFonts w:ascii="Times New Roman" w:cs="Times New Roman" w:eastAsia="Times New Roman" w:hAnsi="Times New Roman"/>
                <w:b w:val="1"/>
                <w:bCs w:val="1"/>
                <w:sz w:val="16"/>
                <w:szCs w:val="16"/>
                <w:rtl w:val="0"/>
              </w:rPr>
              <w:t xml:space="preserve">Requirement / technical vector</w:t>
            </w:r>
          </w:p>
        </w:tc>
        <w:tc>
          <w:tcPr>
            <w:tcW w:w="1250" w:type="dxa"/>
            <w:vAlign w:val="center"/>
          </w:tcPr>
          <w:p>
            <w:pPr>
              <w:jc w:val="left"/>
              <w:rPr/>
            </w:pPr>
            <w:r>
              <w:rPr>
                <w:rFonts w:ascii="Times New Roman" w:cs="Times New Roman" w:eastAsia="Times New Roman" w:hAnsi="Times New Roman"/>
                <w:b w:val="1"/>
                <w:bCs w:val="1"/>
                <w:sz w:val="16"/>
                <w:szCs w:val="16"/>
                <w:rtl w:val="0"/>
              </w:rPr>
              <w:t xml:space="preserve">Behavior of generic solutions (Oxidized)</w:t>
            </w:r>
          </w:p>
        </w:tc>
        <w:tc>
          <w:tcPr>
            <w:tcW w:w="1250" w:type="dxa"/>
            <w:vAlign w:val="center"/>
          </w:tcPr>
          <w:p>
            <w:pPr>
              <w:jc w:val="left"/>
              <w:rPr/>
            </w:pPr>
            <w:r>
              <w:rPr>
                <w:rFonts w:ascii="Times New Roman" w:cs="Times New Roman" w:eastAsia="Times New Roman" w:hAnsi="Times New Roman"/>
                <w:b w:val="1"/>
                <w:bCs w:val="1"/>
                <w:sz w:val="16"/>
                <w:szCs w:val="16"/>
                <w:rtl w:val="0"/>
              </w:rPr>
              <w:t xml:space="preserve">Auto-Redes III solution</w:t>
            </w:r>
          </w:p>
        </w:tc>
        <w:tc>
          <w:tcPr>
            <w:tcW w:w="1250" w:type="dxa"/>
            <w:vAlign w:val="center"/>
          </w:tcPr>
          <w:p>
            <w:pPr>
              <w:jc w:val="left"/>
              <w:rPr/>
            </w:pPr>
            <w:r>
              <w:rPr>
                <w:rFonts w:ascii="Times New Roman" w:cs="Times New Roman" w:eastAsia="Times New Roman" w:hAnsi="Times New Roman"/>
                <w:b w:val="1"/>
                <w:bCs w:val="1"/>
                <w:sz w:val="16"/>
                <w:szCs w:val="16"/>
                <w:rtl w:val="0"/>
              </w:rPr>
              <w:t xml:space="preserve">Operational advantage</w:t>
            </w:r>
          </w:p>
        </w:tc>
      </w:tr>
      <w:tr>
        <w:tc>
          <w:tcPr>
            <w:tcW w:w="1150" w:type="dxa"/>
            <w:vAlign w:val="center"/>
          </w:tcPr>
          <w:p>
            <w:pPr>
              <w:jc w:val="left"/>
              <w:rPr/>
            </w:pPr>
            <w:r>
              <w:rPr>
                <w:rFonts w:ascii="Times New Roman" w:cs="Times New Roman" w:eastAsia="Times New Roman" w:hAnsi="Times New Roman"/>
                <w:sz w:val="16"/>
                <w:szCs w:val="16"/>
                <w:rtl w:val="0"/>
              </w:rPr>
              <w:t xml:space="preserve">SSH negotiation with legacy algorithms</w:t>
            </w:r>
          </w:p>
        </w:tc>
        <w:tc>
          <w:tcPr>
            <w:tcW w:w="1250" w:type="dxa"/>
            <w:vAlign w:val="center"/>
          </w:tcPr>
          <w:p>
            <w:pPr>
              <w:jc w:val="left"/>
              <w:rPr/>
            </w:pPr>
            <w:r>
              <w:rPr>
                <w:rFonts w:ascii="Times New Roman" w:cs="Times New Roman" w:eastAsia="Times New Roman" w:hAnsi="Times New Roman"/>
                <w:sz w:val="16"/>
                <w:szCs w:val="16"/>
                <w:rtl w:val="0"/>
              </w:rPr>
              <w:t xml:space="preserve">Requires relaxing the security of the whole server OS or compiling custom libraries</w:t>
            </w:r>
          </w:p>
        </w:tc>
        <w:tc>
          <w:tcPr>
            <w:tcW w:w="1250" w:type="dxa"/>
            <w:vAlign w:val="center"/>
          </w:tcPr>
          <w:p>
            <w:pPr>
              <w:jc w:val="left"/>
              <w:rPr/>
            </w:pPr>
            <w:r>
              <w:rPr>
                <w:rFonts w:ascii="Times New Roman" w:cs="Times New Roman" w:eastAsia="Times New Roman" w:hAnsi="Times New Roman"/>
                <w:sz w:val="16"/>
                <w:szCs w:val="16"/>
                <w:rtl w:val="0"/>
              </w:rPr>
              <w:t xml:space="preserve">Temporary, session-scoped promotion of obsolete ciphers (ssh_compat) during the handshake</w:t>
            </w:r>
          </w:p>
        </w:tc>
        <w:tc>
          <w:tcPr>
            <w:tcW w:w="1250" w:type="dxa"/>
            <w:vAlign w:val="center"/>
          </w:tcPr>
          <w:p>
            <w:pPr>
              <w:jc w:val="left"/>
              <w:rPr/>
            </w:pPr>
            <w:r>
              <w:rPr>
                <w:rFonts w:ascii="Times New Roman" w:cs="Times New Roman" w:eastAsia="Times New Roman" w:hAnsi="Times New Roman"/>
                <w:sz w:val="16"/>
                <w:szCs w:val="16"/>
                <w:rtl w:val="0"/>
              </w:rPr>
              <w:t xml:space="preserve">Reliable connectivity with legacy switches without compromising the server's global security posture</w:t>
            </w:r>
          </w:p>
        </w:tc>
      </w:tr>
      <w:tr>
        <w:tc>
          <w:tcPr>
            <w:tcW w:w="1150" w:type="dxa"/>
            <w:vAlign w:val="center"/>
          </w:tcPr>
          <w:p>
            <w:pPr>
              <w:jc w:val="left"/>
              <w:rPr/>
            </w:pPr>
            <w:r>
              <w:rPr>
                <w:rFonts w:ascii="Times New Roman" w:cs="Times New Roman" w:eastAsia="Times New Roman" w:hAnsi="Times New Roman"/>
                <w:sz w:val="16"/>
                <w:szCs w:val="16"/>
                <w:rtl w:val="0"/>
              </w:rPr>
              <w:t xml:space="preserve">Interactive elevation with secondary password</w:t>
            </w:r>
          </w:p>
        </w:tc>
        <w:tc>
          <w:tcPr>
            <w:tcW w:w="1250" w:type="dxa"/>
            <w:vAlign w:val="center"/>
          </w:tcPr>
          <w:p>
            <w:pPr>
              <w:jc w:val="left"/>
              <w:rPr/>
            </w:pPr>
            <w:r>
              <w:rPr>
                <w:rFonts w:ascii="Times New Roman" w:cs="Times New Roman" w:eastAsia="Times New Roman" w:hAnsi="Times New Roman"/>
                <w:sz w:val="16"/>
                <w:szCs w:val="16"/>
                <w:rtl w:val="0"/>
              </w:rPr>
              <w:t xml:space="preserve">Fails, or requires programming complex Ruby extensions for multi-phase interactive prompts</w:t>
            </w:r>
          </w:p>
        </w:tc>
        <w:tc>
          <w:tcPr>
            <w:tcW w:w="1250" w:type="dxa"/>
            <w:vAlign w:val="center"/>
          </w:tcPr>
          <w:p>
            <w:pPr>
              <w:jc w:val="left"/>
              <w:rPr/>
            </w:pPr>
            <w:r>
              <w:rPr>
                <w:rFonts w:ascii="Times New Roman" w:cs="Times New Roman" w:eastAsia="Times New Roman" w:hAnsi="Times New Roman"/>
                <w:sz w:val="16"/>
                <w:szCs w:val="16"/>
                <w:rtl w:val="0"/>
              </w:rPr>
              <w:t xml:space="preserve">Family-specific driver with sequential dialogue management and elevation prior to capture</w:t>
            </w:r>
          </w:p>
        </w:tc>
        <w:tc>
          <w:tcPr>
            <w:tcW w:w="1250" w:type="dxa"/>
            <w:vAlign w:val="center"/>
          </w:tcPr>
          <w:p>
            <w:pPr>
              <w:jc w:val="left"/>
              <w:rPr/>
            </w:pPr>
            <w:r>
              <w:rPr>
                <w:rFonts w:ascii="Times New Roman" w:cs="Times New Roman" w:eastAsia="Times New Roman" w:hAnsi="Times New Roman"/>
                <w:sz w:val="16"/>
                <w:szCs w:val="16"/>
                <w:rtl w:val="0"/>
              </w:rPr>
              <w:t xml:space="preserve">Complete, reliable dumps on devices with restricted consoles</w:t>
            </w:r>
          </w:p>
        </w:tc>
      </w:tr>
      <w:tr>
        <w:tc>
          <w:tcPr>
            <w:tcW w:w="1150" w:type="dxa"/>
            <w:vAlign w:val="center"/>
          </w:tcPr>
          <w:p>
            <w:pPr>
              <w:jc w:val="left"/>
              <w:rPr/>
            </w:pPr>
            <w:r>
              <w:rPr>
                <w:rFonts w:ascii="Times New Roman" w:cs="Times New Roman" w:eastAsia="Times New Roman" w:hAnsi="Times New Roman"/>
                <w:sz w:val="16"/>
                <w:szCs w:val="16"/>
                <w:rtl w:val="0"/>
              </w:rPr>
              <w:t xml:space="preserve">In-band authentication handling</w:t>
            </w:r>
          </w:p>
        </w:tc>
        <w:tc>
          <w:tcPr>
            <w:tcW w:w="1250" w:type="dxa"/>
            <w:vAlign w:val="center"/>
          </w:tcPr>
          <w:p>
            <w:pPr>
              <w:jc w:val="left"/>
              <w:rPr/>
            </w:pPr>
            <w:r>
              <w:rPr>
                <w:rFonts w:ascii="Times New Roman" w:cs="Times New Roman" w:eastAsia="Times New Roman" w:hAnsi="Times New Roman"/>
                <w:sz w:val="16"/>
                <w:szCs w:val="16"/>
                <w:rtl w:val="0"/>
              </w:rPr>
              <w:t xml:space="preserve">Tends to interpret the interactive user prompt inside the SSH channel as a connection timeout</w:t>
            </w:r>
          </w:p>
        </w:tc>
        <w:tc>
          <w:tcPr>
            <w:tcW w:w="1250" w:type="dxa"/>
            <w:vAlign w:val="center"/>
          </w:tcPr>
          <w:p>
            <w:pPr>
              <w:jc w:val="left"/>
              <w:rPr/>
            </w:pPr>
            <w:r>
              <w:rPr>
                <w:rFonts w:ascii="Times New Roman" w:cs="Times New Roman" w:eastAsia="Times New Roman" w:hAnsi="Times New Roman"/>
                <w:sz w:val="16"/>
                <w:szCs w:val="16"/>
                <w:rtl w:val="0"/>
              </w:rPr>
              <w:t xml:space="preserve">Adaptive detection and response to the interactive prompt in the pseudo-terminal</w:t>
            </w:r>
          </w:p>
        </w:tc>
        <w:tc>
          <w:tcPr>
            <w:tcW w:w="1250" w:type="dxa"/>
            <w:vAlign w:val="center"/>
          </w:tcPr>
          <w:p>
            <w:pPr>
              <w:jc w:val="left"/>
              <w:rPr/>
            </w:pPr>
            <w:r>
              <w:rPr>
                <w:rFonts w:ascii="Times New Roman" w:cs="Times New Roman" w:eastAsia="Times New Roman" w:hAnsi="Times New Roman"/>
                <w:sz w:val="16"/>
                <w:szCs w:val="16"/>
                <w:rtl w:val="0"/>
              </w:rPr>
              <w:t xml:space="preserve">Transparent automation on intermediate-generation switch families</w:t>
            </w:r>
          </w:p>
        </w:tc>
      </w:tr>
      <w:tr>
        <w:tc>
          <w:tcPr>
            <w:tcW w:w="1150" w:type="dxa"/>
            <w:vAlign w:val="center"/>
          </w:tcPr>
          <w:p>
            <w:pPr>
              <w:jc w:val="left"/>
              <w:rPr/>
            </w:pPr>
            <w:r>
              <w:rPr>
                <w:rFonts w:ascii="Times New Roman" w:cs="Times New Roman" w:eastAsia="Times New Roman" w:hAnsi="Times New Roman"/>
                <w:sz w:val="16"/>
                <w:szCs w:val="16"/>
                <w:rtl w:val="0"/>
              </w:rPr>
              <w:t xml:space="preserve">Fault tolerance and lockout prevention</w:t>
            </w:r>
          </w:p>
        </w:tc>
        <w:tc>
          <w:tcPr>
            <w:tcW w:w="1250" w:type="dxa"/>
            <w:vAlign w:val="center"/>
          </w:tcPr>
          <w:p>
            <w:pPr>
              <w:jc w:val="left"/>
              <w:rPr/>
            </w:pPr>
            <w:r>
              <w:rPr>
                <w:rFonts w:ascii="Times New Roman" w:cs="Times New Roman" w:eastAsia="Times New Roman" w:hAnsi="Times New Roman"/>
                <w:sz w:val="16"/>
                <w:szCs w:val="16"/>
                <w:rtl w:val="0"/>
              </w:rPr>
              <w:t xml:space="preserve">Indefinite retries in cron cycles, causing administrative account lockouts on devices with local AAA policies</w:t>
            </w:r>
          </w:p>
        </w:tc>
        <w:tc>
          <w:tcPr>
            <w:tcW w:w="1250" w:type="dxa"/>
            <w:vAlign w:val="center"/>
          </w:tcPr>
          <w:p>
            <w:pPr>
              <w:jc w:val="left"/>
              <w:rPr/>
            </w:pPr>
            <w:r>
              <w:rPr>
                <w:rFonts w:ascii="Times New Roman" w:cs="Times New Roman" w:eastAsia="Times New Roman" w:hAnsi="Times New Roman"/>
                <w:sz w:val="16"/>
                <w:szCs w:val="16"/>
                <w:rtl w:val="0"/>
              </w:rPr>
              <w:t xml:space="preserve">Quarantine module: after 2 consecutive failures, all attempts with that credential are suspended on all linked nodes</w:t>
            </w:r>
          </w:p>
        </w:tc>
        <w:tc>
          <w:tcPr>
            <w:tcW w:w="1250" w:type="dxa"/>
            <w:vAlign w:val="center"/>
          </w:tcPr>
          <w:p>
            <w:pPr>
              <w:jc w:val="left"/>
              <w:rPr/>
            </w:pPr>
            <w:r>
              <w:rPr>
                <w:rFonts w:ascii="Times New Roman" w:cs="Times New Roman" w:eastAsia="Times New Roman" w:hAnsi="Times New Roman"/>
                <w:sz w:val="16"/>
                <w:szCs w:val="16"/>
                <w:rtl w:val="0"/>
              </w:rPr>
              <w:t xml:space="preserve">Elimination of the risk of mass lockout of institutional credentials</w:t>
            </w:r>
          </w:p>
        </w:tc>
      </w:tr>
      <w:tr>
        <w:tc>
          <w:tcPr>
            <w:tcW w:w="1150" w:type="dxa"/>
            <w:vAlign w:val="center"/>
          </w:tcPr>
          <w:p>
            <w:pPr>
              <w:jc w:val="left"/>
              <w:rPr/>
            </w:pPr>
            <w:r>
              <w:rPr>
                <w:rFonts w:ascii="Times New Roman" w:cs="Times New Roman" w:eastAsia="Times New Roman" w:hAnsi="Times New Roman"/>
                <w:sz w:val="16"/>
                <w:szCs w:val="16"/>
                <w:rtl w:val="0"/>
              </w:rPr>
              <w:t xml:space="preserve">Deployment and maintainability</w:t>
            </w:r>
          </w:p>
        </w:tc>
        <w:tc>
          <w:tcPr>
            <w:tcW w:w="1250" w:type="dxa"/>
            <w:vAlign w:val="center"/>
          </w:tcPr>
          <w:p>
            <w:pPr>
              <w:jc w:val="left"/>
              <w:rPr/>
            </w:pPr>
            <w:r>
              <w:rPr>
                <w:rFonts w:ascii="Times New Roman" w:cs="Times New Roman" w:eastAsia="Times New Roman" w:hAnsi="Times New Roman"/>
                <w:sz w:val="16"/>
                <w:szCs w:val="16"/>
                <w:rtl w:val="0"/>
              </w:rPr>
              <w:t xml:space="preserve">Ruby ecosystem, gems with C dependencies (libgit2), complex configuration on Windows environments</w:t>
            </w:r>
          </w:p>
        </w:tc>
        <w:tc>
          <w:tcPr>
            <w:tcW w:w="1250" w:type="dxa"/>
            <w:vAlign w:val="center"/>
          </w:tcPr>
          <w:p>
            <w:pPr>
              <w:jc w:val="left"/>
              <w:rPr/>
            </w:pPr>
            <w:r>
              <w:rPr>
                <w:rFonts w:ascii="Times New Roman" w:cs="Times New Roman" w:eastAsia="Times New Roman" w:hAnsi="Times New Roman"/>
                <w:sz w:val="16"/>
                <w:szCs w:val="16"/>
                <w:rtl w:val="0"/>
              </w:rPr>
              <w:t xml:space="preserve">Standard Python, portable, without complex native dependencies or heavy services</w:t>
            </w:r>
          </w:p>
        </w:tc>
        <w:tc>
          <w:tcPr>
            <w:tcW w:w="1250" w:type="dxa"/>
            <w:vAlign w:val="center"/>
          </w:tcPr>
          <w:p>
            <w:pPr>
              <w:jc w:val="left"/>
              <w:rPr/>
            </w:pPr>
            <w:r>
              <w:rPr>
                <w:rFonts w:ascii="Times New Roman" w:cs="Times New Roman" w:eastAsia="Times New Roman" w:hAnsi="Times New Roman"/>
                <w:sz w:val="16"/>
                <w:szCs w:val="16"/>
                <w:rtl w:val="0"/>
              </w:rPr>
              <w:t xml:space="preserve">Simplified maintenance and full technical transfer to the institution</w:t>
            </w:r>
          </w:p>
        </w:tc>
      </w:tr>
      <w:tr>
        <w:tc>
          <w:tcPr>
            <w:tcW w:w="1150" w:type="dxa"/>
            <w:vAlign w:val="center"/>
          </w:tcPr>
          <w:p>
            <w:pPr>
              <w:jc w:val="left"/>
              <w:rPr/>
            </w:pPr>
            <w:r>
              <w:rPr>
                <w:rFonts w:ascii="Times New Roman" w:cs="Times New Roman" w:eastAsia="Times New Roman" w:hAnsi="Times New Roman"/>
                <w:sz w:val="16"/>
                <w:szCs w:val="16"/>
                <w:rtl w:val="0"/>
              </w:rPr>
              <w:t xml:space="preserve">Auditing and topology inference</w:t>
            </w:r>
          </w:p>
        </w:tc>
        <w:tc>
          <w:tcPr>
            <w:tcW w:w="1250" w:type="dxa"/>
            <w:vAlign w:val="center"/>
          </w:tcPr>
          <w:p>
            <w:pPr>
              <w:jc w:val="left"/>
              <w:rPr/>
            </w:pPr>
            <w:r>
              <w:rPr>
                <w:rFonts w:ascii="Times New Roman" w:cs="Times New Roman" w:eastAsia="Times New Roman" w:hAnsi="Times New Roman"/>
                <w:sz w:val="16"/>
                <w:szCs w:val="16"/>
                <w:rtl w:val="0"/>
              </w:rPr>
              <w:t xml:space="preserve">Limited to plain-text storage; does not interpret configuration semantics</w:t>
            </w:r>
          </w:p>
        </w:tc>
        <w:tc>
          <w:tcPr>
            <w:tcW w:w="1250" w:type="dxa"/>
            <w:vAlign w:val="center"/>
          </w:tcPr>
          <w:p>
            <w:pPr>
              <w:jc w:val="left"/>
              <w:rPr/>
            </w:pPr>
            <w:r>
              <w:rPr>
                <w:rFonts w:ascii="Times New Roman" w:cs="Times New Roman" w:eastAsia="Times New Roman" w:hAnsi="Times New Roman"/>
                <w:sz w:val="16"/>
                <w:szCs w:val="16"/>
                <w:rtl w:val="0"/>
              </w:rPr>
              <w:t xml:space="preserve">Static analysis engine that generates the L2/L3 network map and audits configuration inconsistencies</w:t>
            </w:r>
          </w:p>
        </w:tc>
        <w:tc>
          <w:tcPr>
            <w:tcW w:w="1250" w:type="dxa"/>
            <w:vAlign w:val="center"/>
          </w:tcPr>
          <w:p>
            <w:pPr>
              <w:jc w:val="left"/>
              <w:rPr/>
            </w:pPr>
            <w:r>
              <w:rPr>
                <w:rFonts w:ascii="Times New Roman" w:cs="Times New Roman" w:eastAsia="Times New Roman" w:hAnsi="Times New Roman"/>
                <w:sz w:val="16"/>
                <w:szCs w:val="16"/>
                <w:rtl w:val="0"/>
              </w:rPr>
              <w:t xml:space="preserve">Graphical network visibility and proactive detection of human errors in links and addressing</w:t>
            </w:r>
          </w:p>
        </w:tc>
      </w:tr>
      <w:tr>
        <w:tc>
          <w:tcPr>
            <w:tcW w:w="1150" w:type="dxa"/>
            <w:vAlign w:val="center"/>
          </w:tcPr>
          <w:p>
            <w:pPr>
              <w:jc w:val="left"/>
              <w:rPr/>
            </w:pPr>
            <w:r>
              <w:rPr>
                <w:rFonts w:ascii="Times New Roman" w:cs="Times New Roman" w:eastAsia="Times New Roman" w:hAnsi="Times New Roman"/>
                <w:sz w:val="16"/>
                <w:szCs w:val="16"/>
                <w:rtl w:val="0"/>
              </w:rPr>
              <w:t xml:space="preserve">Difference visualization</w:t>
            </w:r>
          </w:p>
        </w:tc>
        <w:tc>
          <w:tcPr>
            <w:tcW w:w="1250" w:type="dxa"/>
            <w:vAlign w:val="center"/>
          </w:tcPr>
          <w:p>
            <w:pPr>
              <w:jc w:val="left"/>
              <w:rPr/>
            </w:pPr>
            <w:r>
              <w:rPr>
                <w:rFonts w:ascii="Times New Roman" w:cs="Times New Roman" w:eastAsia="Times New Roman" w:hAnsi="Times New Roman"/>
                <w:sz w:val="16"/>
                <w:szCs w:val="16"/>
                <w:rtl w:val="0"/>
              </w:rPr>
              <w:t xml:space="preserve">Classic unified plain-text diff output</w:t>
            </w:r>
          </w:p>
        </w:tc>
        <w:tc>
          <w:tcPr>
            <w:tcW w:w="1250" w:type="dxa"/>
            <w:vAlign w:val="center"/>
          </w:tcPr>
          <w:p>
            <w:pPr>
              <w:jc w:val="left"/>
              <w:rPr/>
            </w:pPr>
            <w:r>
              <w:rPr>
                <w:rFonts w:ascii="Times New Roman" w:cs="Times New Roman" w:eastAsia="Times New Roman" w:hAnsi="Times New Roman"/>
                <w:sz w:val="16"/>
                <w:szCs w:val="16"/>
                <w:rtl w:val="0"/>
              </w:rPr>
              <w:t xml:space="preserve">Side-by-side parallel viewer with word- and parameter-level tokenization</w:t>
            </w:r>
          </w:p>
        </w:tc>
        <w:tc>
          <w:tcPr>
            <w:tcW w:w="1250" w:type="dxa"/>
            <w:vAlign w:val="center"/>
          </w:tcPr>
          <w:p>
            <w:pPr>
              <w:jc w:val="left"/>
              <w:rPr/>
            </w:pPr>
            <w:r>
              <w:rPr>
                <w:rFonts w:ascii="Times New Roman" w:cs="Times New Roman" w:eastAsia="Times New Roman" w:hAnsi="Times New Roman"/>
                <w:sz w:val="16"/>
                <w:szCs w:val="16"/>
                <w:rtl w:val="0"/>
              </w:rPr>
              <w:t xml:space="preserve">Immediate visual identification of the exact changed parameter (SNMP communities, VLANs, access entries)</w:t>
            </w:r>
          </w:p>
        </w:tc>
      </w:tr>
    </w:tbl>
    <w:p>
      <w:pPr>
        <w:rPr/>
      </w:pPr>
    </w:p>
    <w:p>
      <w:pPr>
        <w:keepNext w:val="1"/>
        <w:jc w:val="left"/>
        <w:rPr>
          <w:b w:val="1"/>
          <w:bCs w:val="1"/>
        </w:rPr>
      </w:pPr>
      <w:r>
        <w:rPr>
          <w:rFonts w:ascii="Times New Roman" w:cs="Times New Roman" w:eastAsia="Times New Roman" w:hAnsi="Times New Roman"/>
          <w:b w:val="1"/>
          <w:bCs w:val="1"/>
          <w:sz w:val="20"/>
          <w:szCs w:val="20"/>
          <w:rtl w:val="0"/>
        </w:rPr>
        <w:t xml:space="preserve">6.3 Functional coverage</w:t>
      </w:r>
    </w:p>
    <w:p>
      <w:pPr>
        <w:rPr/>
      </w:pPr>
    </w:p>
    <w:p>
      <w:pPr>
        <w:ind w:firstLine="202"/>
        <w:rPr/>
      </w:pPr>
      <w:r>
        <w:rPr>
          <w:rFonts w:ascii="Times New Roman" w:cs="Times New Roman" w:eastAsia="Times New Roman" w:hAnsi="Times New Roman"/>
          <w:sz w:val="20"/>
          <w:szCs w:val="20"/>
          <w:rtl w:val="0"/>
        </w:rPr>
        <w:t xml:space="preserve">At the time of writing, the platform has completed the following phases: an adaptive SSH capture engine with multi-vendor support; transactional Git storage with the visual comparison engine; multilevel L2/L3 topology mapping by static analysis; and the hardware-simulation environment for integration testing. Drivers for the highest-density families in the infrastructure are validated in production; the remaining drivers are simulator-validated with a supervised first live run (Table 1).</w:t>
      </w:r>
    </w:p>
    <w:p>
      <w:pPr>
        <w:rPr/>
      </w:pPr>
    </w:p>
    <w:p>
      <w:pPr>
        <w:rPr/>
      </w:pPr>
    </w:p>
    <w:p>
      <w:pPr>
        <w:keepNext w:val="1"/>
        <w:jc w:val="left"/>
        <w:rPr>
          <w:b w:val="1"/>
          <w:bCs w:val="1"/>
        </w:rPr>
      </w:pPr>
      <w:r>
        <w:rPr>
          <w:rFonts w:ascii="Times New Roman" w:cs="Times New Roman" w:eastAsia="Times New Roman" w:hAnsi="Times New Roman"/>
          <w:b w:val="1"/>
          <w:bCs w:val="1"/>
          <w:sz w:val="20"/>
          <w:szCs w:val="20"/>
          <w:rtl w:val="0"/>
        </w:rPr>
        <w:t xml:space="preserve">7. DISCUSSION</w:t>
      </w:r>
    </w:p>
    <w:p>
      <w:pPr>
        <w:rPr/>
      </w:pPr>
    </w:p>
    <w:p>
      <w:pPr>
        <w:ind w:firstLine="202"/>
        <w:rPr/>
      </w:pPr>
      <w:r>
        <w:rPr>
          <w:rFonts w:ascii="Times New Roman" w:cs="Times New Roman" w:eastAsia="Times New Roman" w:hAnsi="Times New Roman"/>
          <w:sz w:val="20"/>
          <w:szCs w:val="20"/>
          <w:rtl w:val="0"/>
        </w:rPr>
        <w:t xml:space="preserve">The results confirm that the dominant open-source pattern for configuration backup - periodic collection plus version control, as established by RANCID [2] and Oxidized [1] - remains the correct architectural skeleton, while showing that its standard implementations embed assumptions incompatible with legacy institutional parks. The three failure modes observed with generic tooling (global cryptographic relaxation, misinterpreted interactive dialogues, and lockout-inducing retry loops) were all eliminated by moving the corresponding logic into per-family drivers and an explicit protection layer, rather than into host-level configuration. This supports the central design claim: in legacy environments, robustness properties must be first-class features of the management platform, not side effects of server configuration.</w:t>
      </w:r>
    </w:p>
    <w:p>
      <w:pPr>
        <w:ind w:firstLine="202"/>
        <w:rPr/>
      </w:pPr>
      <w:r>
        <w:rPr>
          <w:rFonts w:ascii="Times New Roman" w:cs="Times New Roman" w:eastAsia="Times New Roman" w:hAnsi="Times New Roman"/>
          <w:sz w:val="20"/>
          <w:szCs w:val="20"/>
          <w:rtl w:val="0"/>
        </w:rPr>
        <w:t xml:space="preserve">The static topology-inference approach trades completeness for safety. Because it emits no traffic and requires no discovery protocols on the devices [8], it can be applied to the most fragile segments of the network; its cost is that VLAN-level deductions identify trunk adjacency but not always the exact physical port, which is precisely the gap the planned MAC-table ingestion addresses (Section 9). Table 2 grades inferred links by the strength of their static evidence rather than presenting them as uniformly reliable; Section 7.1 discusses why this remains a transparency safeguard rather than a statistically validated metric.</w:t>
      </w:r>
    </w:p>
    <w:p>
      <w:pPr>
        <w:rPr/>
      </w:pPr>
    </w:p>
    <w:p>
      <w:pPr>
        <w:keepNext w:val="1"/>
        <w:jc w:val="left"/>
        <w:rPr>
          <w:b w:val="1"/>
          <w:bCs w:val="1"/>
        </w:rPr>
      </w:pPr>
      <w:r>
        <w:rPr>
          <w:rFonts w:ascii="Times New Roman" w:cs="Times New Roman" w:eastAsia="Times New Roman" w:hAnsi="Times New Roman"/>
          <w:b w:val="1"/>
          <w:bCs w:val="1"/>
          <w:sz w:val="20"/>
          <w:szCs w:val="20"/>
          <w:rtl w:val="0"/>
        </w:rPr>
        <w:t xml:space="preserve">7.1 Limitations and threats to validity</w:t>
      </w:r>
    </w:p>
    <w:p>
      <w:pPr>
        <w:rPr/>
      </w:pPr>
    </w:p>
    <w:p>
      <w:pPr>
        <w:ind w:firstLine="202"/>
        <w:rPr/>
      </w:pPr>
      <w:r>
        <w:rPr>
          <w:rFonts w:ascii="Times New Roman" w:cs="Times New Roman" w:eastAsia="Times New Roman" w:hAnsi="Times New Roman"/>
          <w:sz w:val="20"/>
          <w:szCs w:val="20"/>
          <w:rtl w:val="0"/>
        </w:rPr>
        <w:t xml:space="preserve">The present evaluation has three concrete gaps that a demanding empirical standard should flag explicitly, and each has a well-defined path to closure that the authors have not yet executed.</w:t>
      </w:r>
    </w:p>
    <w:p>
      <w:pPr>
        <w:ind w:firstLine="202"/>
        <w:rPr/>
      </w:pPr>
      <w:r>
        <w:rPr>
          <w:rFonts w:ascii="Times New Roman" w:cs="Times New Roman" w:eastAsia="Times New Roman" w:hAnsi="Times New Roman"/>
          <w:sz w:val="20"/>
          <w:szCs w:val="20"/>
          <w:rtl w:val="0"/>
        </w:rPr>
        <w:t xml:space="preserve">First, statistical rigor of the operational metrics (Table 3): the reported ranges were read directly from the platform's execution logs during a single institutional deployment, without recording the sample size (number of devices per family, number of collection cycles) or computing dispersion statistics. This gap does not require a new experiment: because every successful collection is already committed to Git as an atomic, timestamped transaction (Section 3), the commit history of the deployment's GitStore already contains, for every device family, the raw timestamps needed to compute n, mean, and standard deviation - or, given the expected skew toward slower legacy devices, median and interquartile range - in place of the observed range currently reported. The one methodological refinement such an analysis needs is distinguishing cycle duration from commit time: a commit timestamp marks the end of a collection cycle, not its start, so per-device duration must either be read from a separate start-of-cycle log entry where one exists, or approximated from the interval between consecutive commits under the collection workflow's own per-device serialization (Section 5.1) - a valid but coarser proxy that should be reported as such. Extracting and reporting this analysis from the existing GitStore history is retained as an immediate next step rather than a future controlled study; the extraction script itself (analyze_gitstore_timings.py) is already implemented and included in the project repository, and only needs to be pointed at the deployment's GitStore to reproduce Table 3 with measured figures.</w:t>
      </w:r>
    </w:p>
    <w:p>
      <w:pPr>
        <w:ind w:firstLine="202"/>
        <w:rPr/>
      </w:pPr>
      <w:r>
        <w:rPr>
          <w:rFonts w:ascii="Times New Roman" w:cs="Times New Roman" w:eastAsia="Times New Roman" w:hAnsi="Times New Roman"/>
          <w:sz w:val="20"/>
          <w:szCs w:val="20"/>
          <w:rtl w:val="0"/>
        </w:rPr>
        <w:t xml:space="preserve">Second, the topology-inference algorithm (Section 4.4) has not been validated against a ground-truth topology. The evidentiary tiers in Table 2 describe the logical or heuristic strength of the static evidence used to infer a link, not a statistically calibrated confidence score, and no precision or recall figures are reported because no independent reference topology was compared against the algorithm's output. Closing this gap requires assembling a ground-truth map from the manual surveys historically used to document the network (Section 1) - for at least one representative segment - and computing precision and recall separately for each evidentiary tier, which would also indicate whether the deterministic tier is empirically as reliable in practice as its logical justification suggests.</w:t>
      </w:r>
    </w:p>
    <w:p>
      <w:pPr>
        <w:ind w:firstLine="202"/>
        <w:rPr/>
      </w:pPr>
      <w:r>
        <w:rPr>
          <w:rFonts w:ascii="Times New Roman" w:cs="Times New Roman" w:eastAsia="Times New Roman" w:hAnsi="Times New Roman"/>
          <w:sz w:val="20"/>
          <w:szCs w:val="20"/>
          <w:rtl w:val="0"/>
        </w:rPr>
        <w:t xml:space="preserve">Third, the comparison with Oxidized (Table 4, Section 6.2) is qualitative on every vector. This is an unavoidable limitation on the legacy segments, where Oxidized cannot operate safely at all (Section 6.2); it is not unavoidable, however, on the modern edge and expansion segments (Cisco IOS/IOS-XE, MikroTik RouterOS, TP-Link JetStream/ER - Table 1), which are standards-compliant enough for Oxidized to run. A quantitative head-to-head timing comparison restricted to those devices - running both tools against the same nodes across a matched number of trials - is feasible with the infrastructure already in production and is the most immediately actionable extension of this evaluation.</w:t>
      </w:r>
    </w:p>
    <w:p>
      <w:pPr>
        <w:rPr/>
      </w:pPr>
    </w:p>
    <w:p>
      <w:pPr>
        <w:keepNext w:val="1"/>
        <w:jc w:val="left"/>
        <w:rPr>
          <w:b w:val="1"/>
          <w:bCs w:val="1"/>
        </w:rPr>
      </w:pPr>
      <w:r>
        <w:rPr>
          <w:rFonts w:ascii="Times New Roman" w:cs="Times New Roman" w:eastAsia="Times New Roman" w:hAnsi="Times New Roman"/>
          <w:b w:val="1"/>
          <w:bCs w:val="1"/>
          <w:sz w:val="20"/>
          <w:szCs w:val="20"/>
          <w:rtl w:val="0"/>
        </w:rPr>
        <w:t xml:space="preserve">7.2 Design limitations and security considerations</w:t>
      </w:r>
    </w:p>
    <w:p>
      <w:pPr>
        <w:rPr/>
      </w:pPr>
    </w:p>
    <w:p>
      <w:pPr>
        <w:ind w:firstLine="202"/>
        <w:rPr/>
      </w:pPr>
      <w:r>
        <w:rPr>
          <w:rFonts w:ascii="Times New Roman" w:cs="Times New Roman" w:eastAsia="Times New Roman" w:hAnsi="Times New Roman"/>
          <w:sz w:val="20"/>
          <w:szCs w:val="20"/>
          <w:rtl w:val="0"/>
        </w:rPr>
        <w:t xml:space="preserve">Three further design limitations and security considerations deserve emphasis. First, controlled concurrency and commit serialization protect both the management CPU of older switches and the consistency of the Git index, at the cost of a bounded increase in total collection time - an acceptable trade-off given the sub-4-minute full-network figure (Table 3). Second, configuration dumps contain password hashes and SNMP management parameters; the repository must therefore reside in a strictly private environment, and the system complementarily integrates a cryptographic sanitization module for contexts that require secret anonymization [21]. Third, the formal distinction between production-validated and simulator-validated drivers acknowledges that a digital twin, however faithful [18], cannot fully substitute first-contact validation on real hardware.</w:t>
      </w:r>
    </w:p>
    <w:p>
      <w:pPr>
        <w:rPr/>
      </w:pPr>
    </w:p>
    <w:p>
      <w:pPr>
        <w:keepNext w:val="1"/>
        <w:jc w:val="left"/>
        <w:rPr>
          <w:b w:val="1"/>
          <w:bCs w:val="1"/>
        </w:rPr>
      </w:pPr>
      <w:r>
        <w:rPr>
          <w:rFonts w:ascii="Times New Roman" w:cs="Times New Roman" w:eastAsia="Times New Roman" w:hAnsi="Times New Roman"/>
          <w:b w:val="1"/>
          <w:bCs w:val="1"/>
          <w:sz w:val="20"/>
          <w:szCs w:val="20"/>
          <w:rtl w:val="0"/>
        </w:rPr>
        <w:t xml:space="preserve">7.3 Pedagogical dimension</w:t>
      </w:r>
    </w:p>
    <w:p>
      <w:pPr>
        <w:rPr/>
      </w:pPr>
    </w:p>
    <w:p>
      <w:pPr>
        <w:ind w:firstLine="202"/>
        <w:rPr/>
      </w:pPr>
      <w:r>
        <w:rPr>
          <w:rFonts w:ascii="Times New Roman" w:cs="Times New Roman" w:eastAsia="Times New Roman" w:hAnsi="Times New Roman"/>
          <w:sz w:val="20"/>
          <w:szCs w:val="20"/>
          <w:rtl w:val="0"/>
        </w:rPr>
        <w:t xml:space="preserve">Finally, the project has a deliberate pedagogical dimension. Developed within the Network Automation Project III, the system articulates data-network concepts (link and network layers, VLANs, routing) with modern software-engineering practice (version control, API design, concurrency, text analysis), and its fully documented development serves as reference material and a laboratory base for future academic cohorts.</w:t>
      </w:r>
    </w:p>
    <w:p>
      <w:pPr>
        <w:rPr/>
      </w:pPr>
    </w:p>
    <w:p>
      <w:pPr>
        <w:rPr/>
      </w:pPr>
    </w:p>
    <w:p>
      <w:pPr>
        <w:keepNext w:val="1"/>
        <w:jc w:val="left"/>
        <w:rPr>
          <w:b w:val="1"/>
          <w:bCs w:val="1"/>
        </w:rPr>
      </w:pPr>
      <w:r>
        <w:rPr>
          <w:rFonts w:ascii="Times New Roman" w:cs="Times New Roman" w:eastAsia="Times New Roman" w:hAnsi="Times New Roman"/>
          <w:b w:val="1"/>
          <w:bCs w:val="1"/>
          <w:sz w:val="20"/>
          <w:szCs w:val="20"/>
          <w:rtl w:val="0"/>
        </w:rPr>
        <w:t xml:space="preserve">8. CONCLUSIONS</w:t>
      </w:r>
    </w:p>
    <w:p>
      <w:pPr>
        <w:rPr/>
      </w:pPr>
    </w:p>
    <w:p>
      <w:pPr>
        <w:ind w:firstLine="202"/>
        <w:rPr/>
      </w:pPr>
      <w:r>
        <w:rPr>
          <w:rFonts w:ascii="Times New Roman" w:cs="Times New Roman" w:eastAsia="Times New Roman" w:hAnsi="Times New Roman"/>
          <w:sz w:val="20"/>
          <w:szCs w:val="20"/>
          <w:rtl w:val="0"/>
        </w:rPr>
        <w:t xml:space="preserve">The platform developed for the Network Automation Project III demonstrates that the application of software-engineering and infrastructure-as-code principles can resolve complex operational problems in heterogeneous, legacy-laden networks. By providing a safe backup workflow, rigorous Git-based traceability, automated topology deduction, and active hardware-protection mechanisms, the system was observed, in a single-site pilot deployment, to reduce per-device backup time by roughly an order of magnitude, bring full-network unattended backup under four minutes, and cut the mean time to recovery from hours or days to under two minutes, while producing a configuration history that is fully auditable and free of volatile noise. Section 7.1 details the statistical and comparative rigor a follow-up evaluation would still need to add.</w:t>
      </w:r>
    </w:p>
    <w:p>
      <w:pPr>
        <w:ind w:firstLine="202"/>
        <w:rPr/>
      </w:pPr>
      <w:r>
        <w:rPr>
          <w:rFonts w:ascii="Times New Roman" w:cs="Times New Roman" w:eastAsia="Times New Roman" w:hAnsi="Times New Roman"/>
          <w:sz w:val="20"/>
          <w:szCs w:val="20"/>
          <w:rtl w:val="0"/>
        </w:rPr>
        <w:t xml:space="preserve">The comparative analysis against reference tooling shows that the decisive advantages did not come from re-implementing existing functionality, but from treating the constraints of legacy equipment - obsolete cryptography, interactive consoles, lockout-prone AAA policies - as primary design requirements. The resulting platform is lightweight, portable, fully transferable to the institution, and doubles as a methodological framework for advanced technical training.</w:t>
      </w:r>
    </w:p>
    <w:p>
      <w:pPr>
        <w:rPr/>
      </w:pPr>
    </w:p>
    <w:p>
      <w:pPr>
        <w:rPr/>
      </w:pPr>
    </w:p>
    <w:p>
      <w:pPr>
        <w:keepNext w:val="1"/>
        <w:jc w:val="left"/>
        <w:rPr>
          <w:b w:val="1"/>
          <w:bCs w:val="1"/>
        </w:rPr>
      </w:pPr>
      <w:r>
        <w:rPr>
          <w:rFonts w:ascii="Times New Roman" w:cs="Times New Roman" w:eastAsia="Times New Roman" w:hAnsi="Times New Roman"/>
          <w:b w:val="1"/>
          <w:bCs w:val="1"/>
          <w:sz w:val="20"/>
          <w:szCs w:val="20"/>
          <w:rtl w:val="0"/>
        </w:rPr>
        <w:t xml:space="preserve">9. FUTURE WORK</w:t>
      </w:r>
    </w:p>
    <w:p>
      <w:pPr>
        <w:rPr/>
      </w:pPr>
    </w:p>
    <w:p>
      <w:pPr>
        <w:ind w:firstLine="202"/>
        <w:rPr/>
      </w:pPr>
      <w:r>
        <w:rPr>
          <w:rFonts w:ascii="Times New Roman" w:cs="Times New Roman" w:eastAsia="Times New Roman" w:hAnsi="Times New Roman"/>
          <w:sz w:val="20"/>
          <w:szCs w:val="20"/>
          <w:rtl w:val="0"/>
        </w:rPr>
        <w:t xml:space="preserve">Planned extensions follow five lines. First, fine physical resolution of trunk links: ingesting and correlating MAC address tables to assign, with absolute precision, the physical port number to links currently deduced at the VLAN level. Second, structured-cabling registration: a versioned scheme to document static fiber and copper runs that carry no software-deducible frames. Third, remote configuration restoration and provisioning from the web interface, strictly conditioned on the prior incorporation of an authentication and role-based access control (RBAC) layer for the web API. Fourth, health supervision and telemetry (Phase 3): availability and link-state monitoring in near real time through lightweight ICMP/SNMP probes [20], keeping the platform's zero-overhead philosophy. Fifth, closing the empirical gaps identified in Section 7.1: running the included extraction script against the deployment's GitStore to characterize collection timings with real sample sizes and dispersion statistics, assembling a ground-truth topology map to compute precision and recall for each evidentiary tier of the inference engine, and executing a quantitative, timed comparison against Oxidized restricted to the modern segment of the network.</w:t>
      </w:r>
    </w:p>
    <w:p>
      <w:pPr>
        <w:rPr/>
      </w:pPr>
    </w:p>
    <w:p>
      <w:pPr>
        <w:rPr/>
      </w:pPr>
    </w:p>
    <w:p>
      <w:pPr>
        <w:keepNext w:val="1"/>
        <w:jc w:val="left"/>
        <w:rPr>
          <w:b w:val="1"/>
          <w:bCs w:val="1"/>
        </w:rPr>
      </w:pPr>
      <w:r>
        <w:rPr>
          <w:rFonts w:ascii="Times New Roman" w:cs="Times New Roman" w:eastAsia="Times New Roman" w:hAnsi="Times New Roman"/>
          <w:b w:val="1"/>
          <w:bCs w:val="1"/>
          <w:sz w:val="20"/>
          <w:szCs w:val="20"/>
          <w:rtl w:val="0"/>
        </w:rPr>
        <w:t xml:space="preserve">ACKNOWLEDGMENT</w:t>
      </w:r>
    </w:p>
    <w:p>
      <w:pPr>
        <w:rPr/>
      </w:pPr>
    </w:p>
    <w:p>
      <w:pPr>
        <w:rPr/>
      </w:pPr>
      <w:r>
        <w:rPr>
          <w:rFonts w:ascii="Times New Roman" w:cs="Times New Roman" w:eastAsia="Times New Roman" w:hAnsi="Times New Roman"/>
          <w:sz w:val="20"/>
          <w:szCs w:val="20"/>
          <w:rtl w:val="0"/>
        </w:rPr>
        <w:t xml:space="preserve">This work was developed within the framework of the Network Automation Project III at the Research and Development Center in Computer Science (CIDI), National University of San Martín (UNSAM). The authors thank the host institution's network administration staff for their cooperation and for providing access to the infrastructure throughout the pilot deployment.</w:t>
      </w:r>
    </w:p>
    <w:p>
      <w:pPr>
        <w:rPr/>
      </w:pPr>
    </w:p>
    <w:p>
      <w:pPr>
        <w:rPr/>
      </w:pPr>
    </w:p>
    <w:p>
      <w:pPr>
        <w:keepNext w:val="1"/>
        <w:jc w:val="left"/>
        <w:rPr>
          <w:b w:val="1"/>
          <w:bCs w:val="1"/>
        </w:rPr>
      </w:pPr>
      <w:r>
        <w:rPr>
          <w:rFonts w:ascii="Times New Roman" w:cs="Times New Roman" w:eastAsia="Times New Roman" w:hAnsi="Times New Roman"/>
          <w:b w:val="1"/>
          <w:bCs w:val="1"/>
          <w:sz w:val="20"/>
          <w:szCs w:val="20"/>
          <w:rtl w:val="0"/>
        </w:rPr>
        <w:t xml:space="preserve">REFERENCES</w:t>
      </w:r>
    </w:p>
    <w:p>
      <w:pPr>
        <w:rPr/>
      </w:pPr>
    </w:p>
    <w:p>
      <w:pPr>
        <w:numPr>
          <w:ilvl w:val="0"/>
          <w:numId w:val="5"/>
        </w:numPr>
        <w:ind w:left="426" w:hanging="426"/>
        <w:rPr/>
      </w:pPr>
      <w:r>
        <w:rPr>
          <w:rFonts w:ascii="Times New Roman" w:cs="Times New Roman" w:eastAsia="Times New Roman" w:hAnsi="Times New Roman"/>
          <w:sz w:val="20"/>
          <w:szCs w:val="20"/>
          <w:rtl w:val="0"/>
        </w:rPr>
        <w:t xml:space="preserve">Ytti, S., et al. Oxidized: A network device configuration backup tool. https://github.com/ytti/oxidized</w:t>
      </w:r>
    </w:p>
    <w:p>
      <w:pPr>
        <w:numPr>
          <w:ilvl w:val="0"/>
          <w:numId w:val="5"/>
        </w:numPr>
        <w:ind w:left="426" w:hanging="426"/>
        <w:rPr/>
      </w:pPr>
      <w:r>
        <w:rPr>
          <w:rFonts w:ascii="Times New Roman" w:cs="Times New Roman" w:eastAsia="Times New Roman" w:hAnsi="Times New Roman"/>
          <w:sz w:val="20"/>
          <w:szCs w:val="20"/>
          <w:rtl w:val="0"/>
        </w:rPr>
        <w:t xml:space="preserve">Shrubbery Networks. RANCID - Really Awesome New Cisco confIg Differ. https://shrubbery.net/rancid/</w:t>
      </w:r>
    </w:p>
    <w:p>
      <w:pPr>
        <w:numPr>
          <w:ilvl w:val="0"/>
          <w:numId w:val="5"/>
        </w:numPr>
        <w:ind w:left="426" w:hanging="426"/>
        <w:rPr/>
      </w:pPr>
      <w:r>
        <w:rPr>
          <w:rFonts w:ascii="Times New Roman" w:cs="Times New Roman" w:eastAsia="Times New Roman" w:hAnsi="Times New Roman"/>
          <w:sz w:val="20"/>
          <w:szCs w:val="20"/>
          <w:rtl w:val="0"/>
        </w:rPr>
        <w:t xml:space="preserve">NAPALM Automation Community. NAPALM: Network Automation and Programmability Abstraction Layer with Multivendor support. https://napalm.readthedocs.io/</w:t>
      </w:r>
    </w:p>
    <w:p>
      <w:pPr>
        <w:numPr>
          <w:ilvl w:val="0"/>
          <w:numId w:val="5"/>
        </w:numPr>
        <w:ind w:left="426" w:hanging="426"/>
        <w:rPr/>
      </w:pPr>
      <w:r>
        <w:rPr>
          <w:rFonts w:ascii="Times New Roman" w:cs="Times New Roman" w:eastAsia="Times New Roman" w:hAnsi="Times New Roman"/>
          <w:sz w:val="20"/>
          <w:szCs w:val="20"/>
          <w:rtl w:val="0"/>
        </w:rPr>
        <w:t xml:space="preserve">Byers, K. Netmiko: Multi-vendor library to simplify CLI connections to network devices. https://github.com/ktbyers/netmiko</w:t>
      </w:r>
    </w:p>
    <w:p>
      <w:pPr>
        <w:numPr>
          <w:ilvl w:val="0"/>
          <w:numId w:val="5"/>
        </w:numPr>
        <w:ind w:left="426" w:hanging="426"/>
        <w:rPr/>
      </w:pPr>
      <w:r>
        <w:rPr>
          <w:rFonts w:ascii="Times New Roman" w:cs="Times New Roman" w:eastAsia="Times New Roman" w:hAnsi="Times New Roman"/>
          <w:sz w:val="20"/>
          <w:szCs w:val="20"/>
          <w:rtl w:val="0"/>
        </w:rPr>
        <w:t xml:space="preserve">Ylonen, T., Lonvick, C. (2006). The Secure Shell (SSH) Protocol Architecture. RFC 4251, IETF. https://www.rfc-editor.org/rfc/rfc4251</w:t>
      </w:r>
    </w:p>
    <w:p>
      <w:pPr>
        <w:numPr>
          <w:ilvl w:val="0"/>
          <w:numId w:val="5"/>
        </w:numPr>
        <w:ind w:left="426" w:hanging="426"/>
        <w:rPr/>
      </w:pPr>
      <w:r>
        <w:rPr>
          <w:rFonts w:ascii="Times New Roman" w:cs="Times New Roman" w:eastAsia="Times New Roman" w:hAnsi="Times New Roman"/>
          <w:sz w:val="20"/>
          <w:szCs w:val="20"/>
          <w:rtl w:val="0"/>
        </w:rPr>
        <w:t xml:space="preserve">Ylonen, T., Lonvick, C. (2006). The Secure Shell (SSH) Transport Layer Protocol. RFC 4253, IETF. https://www.rfc-editor.org/rfc/rfc4253</w:t>
      </w:r>
    </w:p>
    <w:p>
      <w:pPr>
        <w:numPr>
          <w:ilvl w:val="0"/>
          <w:numId w:val="5"/>
        </w:numPr>
        <w:ind w:left="426" w:hanging="426"/>
        <w:rPr/>
      </w:pPr>
      <w:r>
        <w:rPr>
          <w:rFonts w:ascii="Times New Roman" w:cs="Times New Roman" w:eastAsia="Times New Roman" w:hAnsi="Times New Roman"/>
          <w:sz w:val="20"/>
          <w:szCs w:val="20"/>
          <w:rtl w:val="0"/>
        </w:rPr>
        <w:t xml:space="preserve">Baushke, M. (2022). Key Exchange (KEX) Method Updates and Recommendations for Secure Shell (SSH). RFC 9142, IETF. https://www.rfc-editor.org/rfc/rfc9142</w:t>
      </w:r>
    </w:p>
    <w:p>
      <w:pPr>
        <w:numPr>
          <w:ilvl w:val="0"/>
          <w:numId w:val="5"/>
        </w:numPr>
        <w:ind w:left="426" w:hanging="426"/>
        <w:rPr/>
      </w:pPr>
      <w:r>
        <w:rPr>
          <w:rFonts w:ascii="Times New Roman" w:cs="Times New Roman" w:eastAsia="Times New Roman" w:hAnsi="Times New Roman"/>
          <w:sz w:val="20"/>
          <w:szCs w:val="20"/>
          <w:rtl w:val="0"/>
        </w:rPr>
        <w:t xml:space="preserve">IEEE. (2016). IEEE Standard for Local and Metropolitan Area Networks - Station and Media Access Control Connectivity Discovery. IEEE Std 802.1AB-2016.</w:t>
      </w:r>
    </w:p>
    <w:p>
      <w:pPr>
        <w:numPr>
          <w:ilvl w:val="0"/>
          <w:numId w:val="5"/>
        </w:numPr>
        <w:ind w:left="426" w:hanging="426"/>
        <w:rPr/>
      </w:pPr>
      <w:r>
        <w:rPr>
          <w:rFonts w:ascii="Times New Roman" w:cs="Times New Roman" w:eastAsia="Times New Roman" w:hAnsi="Times New Roman"/>
          <w:sz w:val="20"/>
          <w:szCs w:val="20"/>
          <w:rtl w:val="0"/>
        </w:rPr>
        <w:t xml:space="preserve">Chacon, S., Straub, B. (2014). Pro Git. 2nd ed., Apress.</w:t>
      </w:r>
    </w:p>
    <w:p>
      <w:pPr>
        <w:numPr>
          <w:ilvl w:val="0"/>
          <w:numId w:val="5"/>
        </w:numPr>
        <w:ind w:left="426" w:hanging="426"/>
        <w:rPr/>
      </w:pPr>
      <w:r>
        <w:rPr>
          <w:rFonts w:ascii="Times New Roman" w:cs="Times New Roman" w:eastAsia="Times New Roman" w:hAnsi="Times New Roman"/>
          <w:sz w:val="20"/>
          <w:szCs w:val="20"/>
          <w:rtl w:val="0"/>
        </w:rPr>
        <w:t xml:space="preserve">Morris, K. (2020). Infrastructure as Code: Dynamic Systems for the Cloud Age. 2nd ed., O'Reilly Media.</w:t>
      </w:r>
    </w:p>
    <w:p>
      <w:pPr>
        <w:numPr>
          <w:ilvl w:val="0"/>
          <w:numId w:val="5"/>
        </w:numPr>
        <w:ind w:left="426" w:hanging="426"/>
        <w:rPr/>
      </w:pPr>
      <w:r>
        <w:rPr>
          <w:rFonts w:ascii="Times New Roman" w:cs="Times New Roman" w:eastAsia="Times New Roman" w:hAnsi="Times New Roman"/>
          <w:sz w:val="20"/>
          <w:szCs w:val="20"/>
          <w:rtl w:val="0"/>
        </w:rPr>
        <w:t xml:space="preserve">Enns, R., Bjorklund, M., Schoenwaelder, J., Bierman, A. (2011). Network Configuration Protocol (NETCONF). RFC 6241, IETF. https://www.rfc-editor.org/rfc/rfc6241</w:t>
      </w:r>
    </w:p>
    <w:p>
      <w:pPr>
        <w:numPr>
          <w:ilvl w:val="0"/>
          <w:numId w:val="5"/>
        </w:numPr>
        <w:ind w:left="426" w:hanging="426"/>
        <w:rPr/>
      </w:pPr>
      <w:r>
        <w:rPr>
          <w:rFonts w:ascii="Times New Roman" w:cs="Times New Roman" w:eastAsia="Times New Roman" w:hAnsi="Times New Roman"/>
          <w:sz w:val="20"/>
          <w:szCs w:val="20"/>
          <w:rtl w:val="0"/>
        </w:rPr>
        <w:t xml:space="preserve">Benson, T., Akella, A., Maltz, D.A. (2009). Unraveling the complexity of network management. In: Proceedings of the 6th USENIX Symposium on Networked Systems Design and Implementation (NSDI '09), pp. 335-348.</w:t>
      </w:r>
    </w:p>
    <w:p>
      <w:pPr>
        <w:numPr>
          <w:ilvl w:val="0"/>
          <w:numId w:val="5"/>
        </w:numPr>
        <w:ind w:left="426" w:hanging="426"/>
        <w:rPr/>
      </w:pPr>
      <w:r>
        <w:rPr>
          <w:rFonts w:ascii="Times New Roman" w:cs="Times New Roman" w:eastAsia="Times New Roman" w:hAnsi="Times New Roman"/>
          <w:sz w:val="20"/>
          <w:szCs w:val="20"/>
          <w:rtl w:val="0"/>
        </w:rPr>
        <w:t xml:space="preserve">Oppenheimer, D., Ganapathi, A., Patterson, D.A. (2003). Why do Internet services fail, and what can be done about it? In: Proceedings of the 4th USENIX Symposium on Internet Technologies and Systems (USITS '03).</w:t>
      </w:r>
    </w:p>
    <w:p>
      <w:pPr>
        <w:numPr>
          <w:ilvl w:val="0"/>
          <w:numId w:val="5"/>
        </w:numPr>
        <w:ind w:left="426" w:hanging="426"/>
        <w:rPr/>
      </w:pPr>
      <w:r>
        <w:rPr>
          <w:rFonts w:ascii="Times New Roman" w:cs="Times New Roman" w:eastAsia="Times New Roman" w:hAnsi="Times New Roman"/>
          <w:sz w:val="20"/>
          <w:szCs w:val="20"/>
          <w:rtl w:val="0"/>
        </w:rPr>
        <w:t xml:space="preserve">Kim, H., Feamster, N. (2013). Improving network management with software defined networking. IEEE Communications Magazine, 51(2): 114-119. https://doi.org/10.1109/MCOM.2013.6461195</w:t>
      </w:r>
    </w:p>
    <w:p>
      <w:pPr>
        <w:numPr>
          <w:ilvl w:val="0"/>
          <w:numId w:val="5"/>
        </w:numPr>
        <w:ind w:left="426" w:hanging="426"/>
        <w:rPr/>
      </w:pPr>
      <w:r>
        <w:rPr>
          <w:rFonts w:ascii="Times New Roman" w:cs="Times New Roman" w:eastAsia="Times New Roman" w:hAnsi="Times New Roman"/>
          <w:sz w:val="20"/>
          <w:szCs w:val="20"/>
          <w:rtl w:val="0"/>
        </w:rPr>
        <w:t xml:space="preserve">Myers, E.W. (1986). An O(ND) difference algorithm and its variations. Algorithmica, 1(1): 251-266. https://doi.org/10.1007/BF01840446</w:t>
      </w:r>
    </w:p>
    <w:p>
      <w:pPr>
        <w:numPr>
          <w:ilvl w:val="0"/>
          <w:numId w:val="5"/>
        </w:numPr>
        <w:ind w:left="426" w:hanging="426"/>
        <w:rPr/>
      </w:pPr>
      <w:r>
        <w:rPr>
          <w:rFonts w:ascii="Times New Roman" w:cs="Times New Roman" w:eastAsia="Times New Roman" w:hAnsi="Times New Roman"/>
          <w:sz w:val="20"/>
          <w:szCs w:val="20"/>
          <w:rtl w:val="0"/>
        </w:rPr>
        <w:t xml:space="preserve">Hunt, J.W., McIlroy, M.D. (1976). An algorithm for differential file comparison. Computing Science Technical Report 41, Bell Laboratories.</w:t>
      </w:r>
    </w:p>
    <w:p>
      <w:pPr>
        <w:numPr>
          <w:ilvl w:val="0"/>
          <w:numId w:val="5"/>
        </w:numPr>
        <w:ind w:left="426" w:hanging="426"/>
        <w:rPr/>
      </w:pPr>
      <w:r>
        <w:rPr>
          <w:rFonts w:ascii="Times New Roman" w:cs="Times New Roman" w:eastAsia="Times New Roman" w:hAnsi="Times New Roman"/>
          <w:sz w:val="20"/>
          <w:szCs w:val="20"/>
          <w:rtl w:val="0"/>
        </w:rPr>
        <w:t xml:space="preserve">Retana, A., White, R., Fuller, V., McPherson, D. (2000). Using 31-Bit Prefixes on IPv4 Point-to-Point Links. RFC 3021, IETF. https://www.rfc-editor.org/rfc/rfc3021</w:t>
      </w:r>
    </w:p>
    <w:p>
      <w:pPr>
        <w:numPr>
          <w:ilvl w:val="0"/>
          <w:numId w:val="5"/>
        </w:numPr>
        <w:ind w:left="426" w:hanging="426"/>
        <w:rPr/>
      </w:pPr>
      <w:r>
        <w:rPr>
          <w:rFonts w:ascii="Times New Roman" w:cs="Times New Roman" w:eastAsia="Times New Roman" w:hAnsi="Times New Roman"/>
          <w:sz w:val="20"/>
          <w:szCs w:val="20"/>
          <w:rtl w:val="0"/>
        </w:rPr>
        <w:t xml:space="preserve">Grieves, M., Vickers, J. (2017). Digital twin: Mitigating unpredictable, undesirable emergent behavior in complex systems. In: Transdisciplinary Perspectives on Complex Systems, Springer, pp. 85-113. https://doi.org/10.1007/978-3-319-38756-7_4</w:t>
      </w:r>
    </w:p>
    <w:p>
      <w:pPr>
        <w:numPr>
          <w:ilvl w:val="0"/>
          <w:numId w:val="5"/>
        </w:numPr>
        <w:ind w:left="426" w:hanging="426"/>
        <w:rPr/>
      </w:pPr>
      <w:r>
        <w:rPr>
          <w:rFonts w:ascii="Times New Roman" w:cs="Times New Roman" w:eastAsia="Times New Roman" w:hAnsi="Times New Roman"/>
          <w:sz w:val="20"/>
          <w:szCs w:val="20"/>
          <w:rtl w:val="0"/>
        </w:rPr>
        <w:t xml:space="preserve">Paramiko Project. Paramiko: A Python implementation of the SSHv2 protocol. https://www.paramiko.org/</w:t>
      </w:r>
    </w:p>
    <w:p>
      <w:pPr>
        <w:numPr>
          <w:ilvl w:val="0"/>
          <w:numId w:val="5"/>
        </w:numPr>
        <w:ind w:left="426" w:hanging="426"/>
        <w:rPr/>
      </w:pPr>
      <w:r>
        <w:rPr>
          <w:rFonts w:ascii="Times New Roman" w:cs="Times New Roman" w:eastAsia="Times New Roman" w:hAnsi="Times New Roman"/>
          <w:sz w:val="20"/>
          <w:szCs w:val="20"/>
          <w:rtl w:val="0"/>
        </w:rPr>
        <w:t xml:space="preserve">Case, J., Fedor, M., Schoffstall, M., Davin, J. (1990). A Simple Network Management Protocol (SNMP). RFC 1157, IETF. https://www.rfc-editor.org/rfc/rfc1157</w:t>
      </w:r>
    </w:p>
    <w:p>
      <w:pPr>
        <w:numPr>
          <w:ilvl w:val="0"/>
          <w:numId w:val="5"/>
        </w:numPr>
        <w:ind w:left="426" w:hanging="426"/>
        <w:rPr/>
      </w:pPr>
      <w:r>
        <w:rPr>
          <w:rFonts w:ascii="Times New Roman" w:cs="Times New Roman" w:eastAsia="Times New Roman" w:hAnsi="Times New Roman"/>
          <w:sz w:val="20"/>
          <w:szCs w:val="20"/>
          <w:rtl w:val="0"/>
        </w:rPr>
        <w:t xml:space="preserve">Joint Task Force. (2020). Security and Privacy Controls for Information Systems and Organizations. NIST Special Publication 800-53, Revision 5. https://doi.org/10.6028/NIST.SP.800-53r5</w:t>
      </w:r>
    </w:p>
    <w:p>
      <w:pPr>
        <w:numPr>
          <w:ilvl w:val="0"/>
          <w:numId w:val="5"/>
        </w:numPr>
        <w:ind w:left="426" w:hanging="426"/>
        <w:rPr/>
      </w:pPr>
      <w:r>
        <w:rPr>
          <w:rFonts w:ascii="Times New Roman" w:cs="Times New Roman" w:eastAsia="Times New Roman" w:hAnsi="Times New Roman"/>
          <w:sz w:val="20"/>
          <w:szCs w:val="20"/>
          <w:rtl w:val="0"/>
        </w:rPr>
        <w:t xml:space="preserve">Feamster, N., Rexford, J., Zegura, E. (2014). The road to SDN: An intellectual history of programmable networks. ACM SIGCOMM Computer Communication Review, 44(2): 87-98. https://doi.org/10.1145/2602204.2602219</w:t>
      </w:r>
    </w:p>
    <w:p>
      <w:pPr>
        <w:rPr/>
      </w:pPr>
    </w:p>
    <w:p>
      <w:pPr>
        <w:rPr/>
      </w:pPr>
    </w:p>
    <w:p>
      <w:pPr>
        <w:keepNext w:val="1"/>
        <w:jc w:val="left"/>
        <w:rPr>
          <w:b w:val="1"/>
          <w:bCs w:val="1"/>
        </w:rPr>
      </w:pPr>
      <w:r>
        <w:rPr>
          <w:rFonts w:ascii="Times New Roman" w:cs="Times New Roman" w:eastAsia="Times New Roman" w:hAnsi="Times New Roman"/>
          <w:b w:val="1"/>
          <w:bCs w:val="1"/>
          <w:sz w:val="20"/>
          <w:szCs w:val="20"/>
          <w:rtl w:val="0"/>
        </w:rPr>
        <w:t xml:space="preserve">NOMENCLATURE</w:t>
      </w:r>
    </w:p>
    <w:p>
      <w:pPr>
        <w:rPr/>
      </w:pPr>
    </w:p>
    <w:tbl>
      <w:tblPr>
        <w:tblStyle w:val="Table4"/>
        <w:tblW w:w="4900" w:type="dxa"/>
        <w:jc w:val="center"/>
        <w:tblBorders>
          <w:top w:space="0" w:sz="0" w:val="nil"/>
          <w:left w:space="0" w:sz="0" w:val="nil"/>
          <w:bottom w:space="0" w:sz="0" w:val="nil"/>
          <w:right w:space="0" w:sz="0" w:val="nil"/>
          <w:insideH w:space="0" w:sz="0" w:val="nil"/>
          <w:insideV w:space="0" w:sz="0" w:val="nil"/>
        </w:tblBorders>
        <w:tblLayout w:type="fixed"/>
        <w:tblLook w:val="0000"/>
      </w:tblPr>
      <w:tblGrid>
        <w:gridCol w:w="900"/>
        <w:gridCol w:w="4000"/>
      </w:tblGrid>
      <w:tr>
        <w:tc>
          <w:tcPr>
            <w:tcW w:w="900" w:type="dxa"/>
            <w:vAlign w:val="center"/>
          </w:tcPr>
          <w:p>
            <w:pPr>
              <w:jc w:val="left"/>
              <w:rPr/>
            </w:pPr>
            <w:r>
              <w:rPr>
                <w:rFonts w:ascii="Times New Roman" w:cs="Times New Roman" w:eastAsia="Times New Roman" w:hAnsi="Times New Roman"/>
                <w:sz w:val="18"/>
                <w:szCs w:val="18"/>
                <w:rtl w:val="0"/>
              </w:rPr>
              <w:t xml:space="preserve">AAA</w:t>
            </w:r>
          </w:p>
        </w:tc>
        <w:tc>
          <w:tcPr>
            <w:tcW w:w="4000" w:type="dxa"/>
            <w:vAlign w:val="center"/>
          </w:tcPr>
          <w:p>
            <w:pPr>
              <w:jc w:val="left"/>
              <w:rPr/>
            </w:pPr>
            <w:r>
              <w:rPr>
                <w:rFonts w:ascii="Times New Roman" w:cs="Times New Roman" w:eastAsia="Times New Roman" w:hAnsi="Times New Roman"/>
                <w:sz w:val="18"/>
                <w:szCs w:val="18"/>
                <w:rtl w:val="0"/>
              </w:rPr>
              <w:t xml:space="preserve">Authentication, Authorization, and Accounting</w:t>
            </w:r>
          </w:p>
        </w:tc>
      </w:tr>
      <w:tr>
        <w:tc>
          <w:tcPr>
            <w:tcW w:w="900" w:type="dxa"/>
            <w:vAlign w:val="center"/>
          </w:tcPr>
          <w:p>
            <w:pPr>
              <w:jc w:val="left"/>
              <w:rPr/>
            </w:pPr>
            <w:r>
              <w:rPr>
                <w:rFonts w:ascii="Times New Roman" w:cs="Times New Roman" w:eastAsia="Times New Roman" w:hAnsi="Times New Roman"/>
                <w:sz w:val="18"/>
                <w:szCs w:val="18"/>
                <w:rtl w:val="0"/>
              </w:rPr>
              <w:t xml:space="preserve">ACL</w:t>
            </w:r>
          </w:p>
        </w:tc>
        <w:tc>
          <w:tcPr>
            <w:tcW w:w="4000" w:type="dxa"/>
            <w:vAlign w:val="center"/>
          </w:tcPr>
          <w:p>
            <w:pPr>
              <w:jc w:val="left"/>
              <w:rPr/>
            </w:pPr>
            <w:r>
              <w:rPr>
                <w:rFonts w:ascii="Times New Roman" w:cs="Times New Roman" w:eastAsia="Times New Roman" w:hAnsi="Times New Roman"/>
                <w:sz w:val="18"/>
                <w:szCs w:val="18"/>
                <w:rtl w:val="0"/>
              </w:rPr>
              <w:t xml:space="preserve">Access Control List</w:t>
            </w:r>
          </w:p>
        </w:tc>
      </w:tr>
      <w:tr>
        <w:tc>
          <w:tcPr>
            <w:tcW w:w="900" w:type="dxa"/>
            <w:vAlign w:val="center"/>
          </w:tcPr>
          <w:p>
            <w:pPr>
              <w:jc w:val="left"/>
              <w:rPr/>
            </w:pPr>
            <w:r>
              <w:rPr>
                <w:rFonts w:ascii="Times New Roman" w:cs="Times New Roman" w:eastAsia="Times New Roman" w:hAnsi="Times New Roman"/>
                <w:sz w:val="18"/>
                <w:szCs w:val="18"/>
                <w:rtl w:val="0"/>
              </w:rPr>
              <w:t xml:space="preserve">CDP</w:t>
            </w:r>
          </w:p>
        </w:tc>
        <w:tc>
          <w:tcPr>
            <w:tcW w:w="4000" w:type="dxa"/>
            <w:vAlign w:val="center"/>
          </w:tcPr>
          <w:p>
            <w:pPr>
              <w:jc w:val="left"/>
              <w:rPr/>
            </w:pPr>
            <w:r>
              <w:rPr>
                <w:rFonts w:ascii="Times New Roman" w:cs="Times New Roman" w:eastAsia="Times New Roman" w:hAnsi="Times New Roman"/>
                <w:sz w:val="18"/>
                <w:szCs w:val="18"/>
                <w:rtl w:val="0"/>
              </w:rPr>
              <w:t xml:space="preserve">Cisco Discovery Protocol</w:t>
            </w:r>
          </w:p>
        </w:tc>
      </w:tr>
      <w:tr>
        <w:tc>
          <w:tcPr>
            <w:tcW w:w="900" w:type="dxa"/>
            <w:vAlign w:val="center"/>
          </w:tcPr>
          <w:p>
            <w:pPr>
              <w:jc w:val="left"/>
              <w:rPr/>
            </w:pPr>
            <w:r>
              <w:rPr>
                <w:rFonts w:ascii="Times New Roman" w:cs="Times New Roman" w:eastAsia="Times New Roman" w:hAnsi="Times New Roman"/>
                <w:sz w:val="18"/>
                <w:szCs w:val="18"/>
                <w:rtl w:val="0"/>
              </w:rPr>
              <w:t xml:space="preserve">CLI</w:t>
            </w:r>
          </w:p>
        </w:tc>
        <w:tc>
          <w:tcPr>
            <w:tcW w:w="4000" w:type="dxa"/>
            <w:vAlign w:val="center"/>
          </w:tcPr>
          <w:p>
            <w:pPr>
              <w:jc w:val="left"/>
              <w:rPr/>
            </w:pPr>
            <w:r>
              <w:rPr>
                <w:rFonts w:ascii="Times New Roman" w:cs="Times New Roman" w:eastAsia="Times New Roman" w:hAnsi="Times New Roman"/>
                <w:sz w:val="18"/>
                <w:szCs w:val="18"/>
                <w:rtl w:val="0"/>
              </w:rPr>
              <w:t xml:space="preserve">Command-Line Interface</w:t>
            </w:r>
          </w:p>
        </w:tc>
      </w:tr>
      <w:tr>
        <w:tc>
          <w:tcPr>
            <w:tcW w:w="900" w:type="dxa"/>
            <w:vAlign w:val="center"/>
          </w:tcPr>
          <w:p>
            <w:pPr>
              <w:jc w:val="left"/>
              <w:rPr/>
            </w:pPr>
            <w:r>
              <w:rPr>
                <w:rFonts w:ascii="Times New Roman" w:cs="Times New Roman" w:eastAsia="Times New Roman" w:hAnsi="Times New Roman"/>
                <w:sz w:val="18"/>
                <w:szCs w:val="18"/>
                <w:rtl w:val="0"/>
              </w:rPr>
              <w:t xml:space="preserve">IaC</w:t>
            </w:r>
          </w:p>
        </w:tc>
        <w:tc>
          <w:tcPr>
            <w:tcW w:w="4000" w:type="dxa"/>
            <w:vAlign w:val="center"/>
          </w:tcPr>
          <w:p>
            <w:pPr>
              <w:jc w:val="left"/>
              <w:rPr/>
            </w:pPr>
            <w:r>
              <w:rPr>
                <w:rFonts w:ascii="Times New Roman" w:cs="Times New Roman" w:eastAsia="Times New Roman" w:hAnsi="Times New Roman"/>
                <w:sz w:val="18"/>
                <w:szCs w:val="18"/>
                <w:rtl w:val="0"/>
              </w:rPr>
              <w:t xml:space="preserve">Infrastructure as Code</w:t>
            </w:r>
          </w:p>
        </w:tc>
      </w:tr>
      <w:tr>
        <w:tc>
          <w:tcPr>
            <w:tcW w:w="900" w:type="dxa"/>
            <w:vAlign w:val="center"/>
          </w:tcPr>
          <w:p>
            <w:pPr>
              <w:jc w:val="left"/>
              <w:rPr/>
            </w:pPr>
            <w:r>
              <w:rPr>
                <w:rFonts w:ascii="Times New Roman" w:cs="Times New Roman" w:eastAsia="Times New Roman" w:hAnsi="Times New Roman"/>
                <w:sz w:val="18"/>
                <w:szCs w:val="18"/>
                <w:rtl w:val="0"/>
              </w:rPr>
              <w:t xml:space="preserve">LAG</w:t>
            </w:r>
          </w:p>
        </w:tc>
        <w:tc>
          <w:tcPr>
            <w:tcW w:w="4000" w:type="dxa"/>
            <w:vAlign w:val="center"/>
          </w:tcPr>
          <w:p>
            <w:pPr>
              <w:jc w:val="left"/>
              <w:rPr/>
            </w:pPr>
            <w:r>
              <w:rPr>
                <w:rFonts w:ascii="Times New Roman" w:cs="Times New Roman" w:eastAsia="Times New Roman" w:hAnsi="Times New Roman"/>
                <w:sz w:val="18"/>
                <w:szCs w:val="18"/>
                <w:rtl w:val="0"/>
              </w:rPr>
              <w:t xml:space="preserve">Link Aggregation Group</w:t>
            </w:r>
          </w:p>
        </w:tc>
      </w:tr>
      <w:tr>
        <w:tc>
          <w:tcPr>
            <w:tcW w:w="900" w:type="dxa"/>
            <w:vAlign w:val="center"/>
          </w:tcPr>
          <w:p>
            <w:pPr>
              <w:jc w:val="left"/>
              <w:rPr/>
            </w:pPr>
            <w:r>
              <w:rPr>
                <w:rFonts w:ascii="Times New Roman" w:cs="Times New Roman" w:eastAsia="Times New Roman" w:hAnsi="Times New Roman"/>
                <w:sz w:val="18"/>
                <w:szCs w:val="18"/>
                <w:rtl w:val="0"/>
              </w:rPr>
              <w:t xml:space="preserve">LLDP</w:t>
            </w:r>
          </w:p>
        </w:tc>
        <w:tc>
          <w:tcPr>
            <w:tcW w:w="4000" w:type="dxa"/>
            <w:vAlign w:val="center"/>
          </w:tcPr>
          <w:p>
            <w:pPr>
              <w:jc w:val="left"/>
              <w:rPr/>
            </w:pPr>
            <w:r>
              <w:rPr>
                <w:rFonts w:ascii="Times New Roman" w:cs="Times New Roman" w:eastAsia="Times New Roman" w:hAnsi="Times New Roman"/>
                <w:sz w:val="18"/>
                <w:szCs w:val="18"/>
                <w:rtl w:val="0"/>
              </w:rPr>
              <w:t xml:space="preserve">Link Layer Discovery Protocol</w:t>
            </w:r>
          </w:p>
        </w:tc>
      </w:tr>
      <w:tr>
        <w:tc>
          <w:tcPr>
            <w:tcW w:w="900" w:type="dxa"/>
            <w:vAlign w:val="center"/>
          </w:tcPr>
          <w:p>
            <w:pPr>
              <w:jc w:val="left"/>
              <w:rPr/>
            </w:pPr>
            <w:r>
              <w:rPr>
                <w:rFonts w:ascii="Times New Roman" w:cs="Times New Roman" w:eastAsia="Times New Roman" w:hAnsi="Times New Roman"/>
                <w:sz w:val="18"/>
                <w:szCs w:val="18"/>
                <w:rtl w:val="0"/>
              </w:rPr>
              <w:t xml:space="preserve">MTTR</w:t>
            </w:r>
          </w:p>
        </w:tc>
        <w:tc>
          <w:tcPr>
            <w:tcW w:w="4000" w:type="dxa"/>
            <w:vAlign w:val="center"/>
          </w:tcPr>
          <w:p>
            <w:pPr>
              <w:jc w:val="left"/>
              <w:rPr/>
            </w:pPr>
            <w:r>
              <w:rPr>
                <w:rFonts w:ascii="Times New Roman" w:cs="Times New Roman" w:eastAsia="Times New Roman" w:hAnsi="Times New Roman"/>
                <w:sz w:val="18"/>
                <w:szCs w:val="18"/>
                <w:rtl w:val="0"/>
              </w:rPr>
              <w:t xml:space="preserve">Mean Time to Recovery</w:t>
            </w:r>
          </w:p>
        </w:tc>
      </w:tr>
      <w:tr>
        <w:tc>
          <w:tcPr>
            <w:tcW w:w="900" w:type="dxa"/>
            <w:vAlign w:val="center"/>
          </w:tcPr>
          <w:p>
            <w:pPr>
              <w:jc w:val="left"/>
              <w:rPr/>
            </w:pPr>
            <w:r>
              <w:rPr>
                <w:rFonts w:ascii="Times New Roman" w:cs="Times New Roman" w:eastAsia="Times New Roman" w:hAnsi="Times New Roman"/>
                <w:sz w:val="18"/>
                <w:szCs w:val="18"/>
                <w:rtl w:val="0"/>
              </w:rPr>
              <w:t xml:space="preserve">NCM</w:t>
            </w:r>
          </w:p>
        </w:tc>
        <w:tc>
          <w:tcPr>
            <w:tcW w:w="4000" w:type="dxa"/>
            <w:vAlign w:val="center"/>
          </w:tcPr>
          <w:p>
            <w:pPr>
              <w:jc w:val="left"/>
              <w:rPr/>
            </w:pPr>
            <w:r>
              <w:rPr>
                <w:rFonts w:ascii="Times New Roman" w:cs="Times New Roman" w:eastAsia="Times New Roman" w:hAnsi="Times New Roman"/>
                <w:sz w:val="18"/>
                <w:szCs w:val="18"/>
                <w:rtl w:val="0"/>
              </w:rPr>
              <w:t xml:space="preserve">Network Configuration Management</w:t>
            </w:r>
          </w:p>
        </w:tc>
      </w:tr>
      <w:tr>
        <w:tc>
          <w:tcPr>
            <w:tcW w:w="900" w:type="dxa"/>
            <w:vAlign w:val="center"/>
          </w:tcPr>
          <w:p>
            <w:pPr>
              <w:jc w:val="left"/>
              <w:rPr/>
            </w:pPr>
            <w:r>
              <w:rPr>
                <w:rFonts w:ascii="Times New Roman" w:cs="Times New Roman" w:eastAsia="Times New Roman" w:hAnsi="Times New Roman"/>
                <w:sz w:val="18"/>
                <w:szCs w:val="18"/>
                <w:rtl w:val="0"/>
              </w:rPr>
              <w:t xml:space="preserve">RBAC</w:t>
            </w:r>
          </w:p>
        </w:tc>
        <w:tc>
          <w:tcPr>
            <w:tcW w:w="4000" w:type="dxa"/>
            <w:vAlign w:val="center"/>
          </w:tcPr>
          <w:p>
            <w:pPr>
              <w:jc w:val="left"/>
              <w:rPr/>
            </w:pPr>
            <w:r>
              <w:rPr>
                <w:rFonts w:ascii="Times New Roman" w:cs="Times New Roman" w:eastAsia="Times New Roman" w:hAnsi="Times New Roman"/>
                <w:sz w:val="18"/>
                <w:szCs w:val="18"/>
                <w:rtl w:val="0"/>
              </w:rPr>
              <w:t xml:space="preserve">Role-Based Access Control</w:t>
            </w:r>
          </w:p>
        </w:tc>
      </w:tr>
      <w:tr>
        <w:tc>
          <w:tcPr>
            <w:tcW w:w="900" w:type="dxa"/>
            <w:vAlign w:val="center"/>
          </w:tcPr>
          <w:p>
            <w:pPr>
              <w:jc w:val="left"/>
              <w:rPr/>
            </w:pPr>
            <w:r>
              <w:rPr>
                <w:rFonts w:ascii="Times New Roman" w:cs="Times New Roman" w:eastAsia="Times New Roman" w:hAnsi="Times New Roman"/>
                <w:sz w:val="18"/>
                <w:szCs w:val="18"/>
                <w:rtl w:val="0"/>
              </w:rPr>
              <w:t xml:space="preserve">SPA</w:t>
            </w:r>
          </w:p>
        </w:tc>
        <w:tc>
          <w:tcPr>
            <w:tcW w:w="4000" w:type="dxa"/>
            <w:vAlign w:val="center"/>
          </w:tcPr>
          <w:p>
            <w:pPr>
              <w:jc w:val="left"/>
              <w:rPr/>
            </w:pPr>
            <w:r>
              <w:rPr>
                <w:rFonts w:ascii="Times New Roman" w:cs="Times New Roman" w:eastAsia="Times New Roman" w:hAnsi="Times New Roman"/>
                <w:sz w:val="18"/>
                <w:szCs w:val="18"/>
                <w:rtl w:val="0"/>
              </w:rPr>
              <w:t xml:space="preserve">Single-Page Application</w:t>
            </w:r>
          </w:p>
        </w:tc>
      </w:tr>
      <w:tr>
        <w:tc>
          <w:tcPr>
            <w:tcW w:w="900" w:type="dxa"/>
            <w:vAlign w:val="center"/>
          </w:tcPr>
          <w:p>
            <w:pPr>
              <w:jc w:val="left"/>
              <w:rPr/>
            </w:pPr>
            <w:r>
              <w:rPr>
                <w:rFonts w:ascii="Times New Roman" w:cs="Times New Roman" w:eastAsia="Times New Roman" w:hAnsi="Times New Roman"/>
                <w:sz w:val="18"/>
                <w:szCs w:val="18"/>
                <w:rtl w:val="0"/>
              </w:rPr>
              <w:t xml:space="preserve">SSH</w:t>
            </w:r>
          </w:p>
        </w:tc>
        <w:tc>
          <w:tcPr>
            <w:tcW w:w="4000" w:type="dxa"/>
            <w:vAlign w:val="center"/>
          </w:tcPr>
          <w:p>
            <w:pPr>
              <w:jc w:val="left"/>
              <w:rPr/>
            </w:pPr>
            <w:r>
              <w:rPr>
                <w:rFonts w:ascii="Times New Roman" w:cs="Times New Roman" w:eastAsia="Times New Roman" w:hAnsi="Times New Roman"/>
                <w:sz w:val="18"/>
                <w:szCs w:val="18"/>
                <w:rtl w:val="0"/>
              </w:rPr>
              <w:t xml:space="preserve">Secure Shell</w:t>
            </w:r>
          </w:p>
        </w:tc>
      </w:tr>
      <w:tr>
        <w:tc>
          <w:tcPr>
            <w:tcW w:w="900" w:type="dxa"/>
            <w:vAlign w:val="center"/>
          </w:tcPr>
          <w:p>
            <w:pPr>
              <w:jc w:val="left"/>
              <w:rPr/>
            </w:pPr>
            <w:r>
              <w:rPr>
                <w:rFonts w:ascii="Times New Roman" w:cs="Times New Roman" w:eastAsia="Times New Roman" w:hAnsi="Times New Roman"/>
                <w:sz w:val="18"/>
                <w:szCs w:val="18"/>
                <w:rtl w:val="0"/>
              </w:rPr>
              <w:t xml:space="preserve">SVI</w:t>
            </w:r>
          </w:p>
        </w:tc>
        <w:tc>
          <w:tcPr>
            <w:tcW w:w="4000" w:type="dxa"/>
            <w:vAlign w:val="center"/>
          </w:tcPr>
          <w:p>
            <w:pPr>
              <w:jc w:val="left"/>
              <w:rPr/>
            </w:pPr>
            <w:r>
              <w:rPr>
                <w:rFonts w:ascii="Times New Roman" w:cs="Times New Roman" w:eastAsia="Times New Roman" w:hAnsi="Times New Roman"/>
                <w:sz w:val="18"/>
                <w:szCs w:val="18"/>
                <w:rtl w:val="0"/>
              </w:rPr>
              <w:t xml:space="preserve">Switch Virtual Interface</w:t>
            </w:r>
          </w:p>
        </w:tc>
      </w:tr>
      <w:tr>
        <w:tc>
          <w:tcPr>
            <w:tcW w:w="900" w:type="dxa"/>
            <w:vAlign w:val="center"/>
          </w:tcPr>
          <w:p>
            <w:pPr>
              <w:jc w:val="left"/>
              <w:rPr/>
            </w:pPr>
            <w:r>
              <w:rPr>
                <w:rFonts w:ascii="Times New Roman" w:cs="Times New Roman" w:eastAsia="Times New Roman" w:hAnsi="Times New Roman"/>
                <w:sz w:val="18"/>
                <w:szCs w:val="18"/>
                <w:rtl w:val="0"/>
              </w:rPr>
              <w:t xml:space="preserve">VLAN</w:t>
            </w:r>
          </w:p>
        </w:tc>
        <w:tc>
          <w:tcPr>
            <w:tcW w:w="4000" w:type="dxa"/>
            <w:vAlign w:val="center"/>
          </w:tcPr>
          <w:p>
            <w:pPr>
              <w:jc w:val="left"/>
              <w:rPr/>
            </w:pPr>
            <w:r>
              <w:rPr>
                <w:rFonts w:ascii="Times New Roman" w:cs="Times New Roman" w:eastAsia="Times New Roman" w:hAnsi="Times New Roman"/>
                <w:sz w:val="18"/>
                <w:szCs w:val="18"/>
                <w:rtl w:val="0"/>
              </w:rPr>
              <w:t xml:space="preserve">Virtual Local Area Network</w:t>
            </w:r>
          </w:p>
        </w:tc>
      </w:tr>
    </w:tbl>
    <w:p>
      <w:pPr>
        <w:rPr/>
      </w:pPr>
    </w:p>
    <w:p>
      <w:pPr>
        <w:rPr/>
      </w:pPr>
    </w:p>
    <w:p>
      <w:pPr>
        <w:keepNext w:val="1"/>
        <w:jc w:val="left"/>
        <w:rPr>
          <w:b w:val="1"/>
          <w:bCs w:val="1"/>
        </w:rPr>
      </w:pPr>
      <w:r>
        <w:rPr>
          <w:rFonts w:ascii="Times New Roman" w:cs="Times New Roman" w:eastAsia="Times New Roman" w:hAnsi="Times New Roman"/>
          <w:b w:val="1"/>
          <w:bCs w:val="1"/>
          <w:sz w:val="20"/>
          <w:szCs w:val="20"/>
          <w:rtl w:val="0"/>
        </w:rPr>
        <w:t xml:space="preserve">APPENDIX</w:t>
      </w:r>
    </w:p>
    <w:p>
      <w:pPr>
        <w:rPr/>
      </w:pPr>
    </w:p>
    <w:p>
      <w:pPr>
        <w:rPr/>
      </w:pPr>
      <w:r>
        <w:rPr>
          <w:rFonts w:ascii="Times New Roman" w:cs="Times New Roman" w:eastAsia="Times New Roman" w:hAnsi="Times New Roman"/>
          <w:sz w:val="20"/>
          <w:szCs w:val="20"/>
          <w:rtl w:val="0"/>
        </w:rPr>
        <w:t xml:space="preserve">Minimum environment and deployment requirements: a standard Python 3 runtime with no external relational database manager and no front-end build chain; Git available on the management host for the version store; network reachability (SSH) from the management host to the administered devices; and a strictly private location for the configuration repository, given that dumps contain password hashes and SNMP management parameters. The device simulator (fake_device.py) allows the full pipeline to be exercised on any workstation without access to production hardware. The project repository also includes analyze_gitstore_timings.py, the analysis tool referenced in Section 7.1 for extracting per-device-family sample size, mean, and standard deviation of collection cycle times directly from a deployment's GitStore commit history.</w:t>
      </w:r>
    </w:p>
    <w:p>
      <w:pPr>
        <w:rPr/>
      </w:pPr>
    </w:p>
    <w:p>
      <w:pPr>
        <w:rPr/>
        <w:sectPr>
          <w:type w:val="continuous"/>
          <w:pgSz w:h="16817" w:w="11879" w:orient="portrait"/>
          <w:pgMar w:bottom="1134" w:top="794" w:left="734" w:right="734" w:header="737" w:footer="737"/>
          <w:cols w:equalWidth="0" w:num="2">
            <w:col w:space="510" w:w="4950.5"/>
            <w:col w:space="0" w:w="4950.5"/>
          </w:cols>
          <w:titlePg w:val="1"/>
        </w:sectPr>
      </w:pPr>
    </w:p>
    <w:p w:rsidR="00000000" w:rsidDel="00000000" w:rsidP="00000000" w:rsidRDefault="00000000" w:rsidRPr="00000000" w14:paraId="000000FF">
      <w:pPr>
        <w:spacing w:line="20" w:lineRule="auto"/>
        <w:rPr>
          <w:rFonts w:ascii="Times New Roman" w:cs="Times New Roman" w:eastAsia="Times New Roman" w:hAnsi="Times New Roman"/>
        </w:rPr>
      </w:pPr>
      <w:r>
        <w:rPr>
          <w:rtl w:val="0"/>
        </w:rPr>
      </w:r>
    </w:p>
    <w:sectPr>
      <w:type w:val="continuous"/>
      <w:pgSz w:h="16817" w:w="11879" w:orient="portrait"/>
      <w:pgMar w:bottom="1134" w:top="794" w:left="734" w:right="734" w:header="737" w:footer="73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Symbol"/>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2"/>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720" w:hanging="720"/>
      </w:pPr>
      <w:rPr/>
    </w:lvl>
    <w:lvl w:ilvl="5">
      <w:start w:val="1"/>
      <w:numFmt w:val="decimal"/>
      <w:lvlText w:val="%1.%2.%3.%4.%5.%6"/>
      <w:lvlJc w:val="left"/>
      <w:pPr>
        <w:ind w:left="1080" w:hanging="1080"/>
      </w:pPr>
      <w:rPr/>
    </w:lvl>
    <w:lvl w:ilvl="6">
      <w:start w:val="1"/>
      <w:numFmt w:val="decimal"/>
      <w:lvlText w:val="%1.%2.%3.%4.%5.%6.%7"/>
      <w:lvlJc w:val="left"/>
      <w:pPr>
        <w:ind w:left="1080" w:hanging="1080"/>
      </w:pPr>
      <w:rPr/>
    </w:lvl>
    <w:lvl w:ilvl="7">
      <w:start w:val="1"/>
      <w:numFmt w:val="decimal"/>
      <w:lvlText w:val="%1.%2.%3.%4.%5.%6.%7.%8"/>
      <w:lvlJc w:val="left"/>
      <w:pPr>
        <w:ind w:left="1440" w:hanging="1440"/>
      </w:pPr>
      <w:rPr/>
    </w:lvl>
    <w:lvl w:ilvl="8">
      <w:start w:val="1"/>
      <w:numFmt w:val="decimal"/>
      <w:lvlText w:val="%1.%2.%3.%4.%5.%6.%7.%8.%9"/>
      <w:lvlJc w:val="left"/>
      <w:pPr>
        <w:ind w:left="1440" w:hanging="1440"/>
      </w:pPr>
      <w:rPr/>
    </w:lvl>
  </w:abstractNum>
  <w:abstractNum w:abstractNumId="2">
    <w:lvl w:ilvl="0">
      <w:start w:val="1"/>
      <w:numFmt w:val="decimal"/>
      <w:lvlText w:val="(%1)"/>
      <w:lvlJc w:val="left"/>
      <w:pPr>
        <w:ind w:left="540" w:hanging="360"/>
      </w:pPr>
      <w:rPr/>
    </w:lvl>
    <w:lvl w:ilvl="1">
      <w:start w:val="1"/>
      <w:numFmt w:val="lowerLetter"/>
      <w:lvlText w:val="%2."/>
      <w:lvlJc w:val="left"/>
      <w:pPr>
        <w:ind w:left="1530" w:hanging="360"/>
      </w:pPr>
      <w:rPr/>
    </w:lvl>
    <w:lvl w:ilvl="2">
      <w:start w:val="1"/>
      <w:numFmt w:val="lowerRoman"/>
      <w:lvlText w:val="%3."/>
      <w:lvlJc w:val="right"/>
      <w:pPr>
        <w:ind w:left="2250" w:hanging="180"/>
      </w:pPr>
      <w:rPr/>
    </w:lvl>
    <w:lvl w:ilvl="3">
      <w:start w:val="1"/>
      <w:numFmt w:val="decimal"/>
      <w:lvlText w:val="%4."/>
      <w:lvlJc w:val="left"/>
      <w:pPr>
        <w:ind w:left="2970" w:hanging="360"/>
      </w:pPr>
      <w:rPr/>
    </w:lvl>
    <w:lvl w:ilvl="4">
      <w:start w:val="1"/>
      <w:numFmt w:val="lowerLetter"/>
      <w:lvlText w:val="%5."/>
      <w:lvlJc w:val="left"/>
      <w:pPr>
        <w:ind w:left="3690" w:hanging="360"/>
      </w:pPr>
      <w:rPr/>
    </w:lvl>
    <w:lvl w:ilvl="5">
      <w:start w:val="1"/>
      <w:numFmt w:val="lowerRoman"/>
      <w:lvlText w:val="%6."/>
      <w:lvlJc w:val="right"/>
      <w:pPr>
        <w:ind w:left="4410" w:hanging="180"/>
      </w:pPr>
      <w:rPr/>
    </w:lvl>
    <w:lvl w:ilvl="6">
      <w:start w:val="1"/>
      <w:numFmt w:val="decimal"/>
      <w:lvlText w:val="%7."/>
      <w:lvlJc w:val="left"/>
      <w:pPr>
        <w:ind w:left="5130" w:hanging="360"/>
      </w:pPr>
      <w:rPr/>
    </w:lvl>
    <w:lvl w:ilvl="7">
      <w:start w:val="1"/>
      <w:numFmt w:val="lowerLetter"/>
      <w:lvlText w:val="%8."/>
      <w:lvlJc w:val="left"/>
      <w:pPr>
        <w:ind w:left="5850" w:hanging="360"/>
      </w:pPr>
      <w:rPr/>
    </w:lvl>
    <w:lvl w:ilvl="8">
      <w:start w:val="1"/>
      <w:numFmt w:val="lowerRoman"/>
      <w:lvlText w:val="%9."/>
      <w:lvlJc w:val="right"/>
      <w:pPr>
        <w:ind w:left="6570" w:hanging="180"/>
      </w:pPr>
      <w:rPr/>
    </w:lvl>
  </w:abstractNum>
  <w:abstractNum w:abstractNumId="3">
    <w:lvl w:ilvl="0">
      <w:start w:val="1"/>
      <w:numFmt w:val="decimal"/>
      <w:lvlText w:val="(%1)"/>
      <w:lvlJc w:val="left"/>
      <w:pPr>
        <w:ind w:left="54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2345" w:hanging="360"/>
      </w:pPr>
      <w:rPr/>
    </w:lvl>
    <w:lvl w:ilvl="1">
      <w:start w:val="1"/>
      <w:numFmt w:val="lowerLetter"/>
      <w:lvlText w:val="%2."/>
      <w:lvlJc w:val="left"/>
      <w:pPr>
        <w:ind w:left="1280" w:hanging="360"/>
      </w:pPr>
      <w:rPr/>
    </w:lvl>
    <w:lvl w:ilvl="2">
      <w:start w:val="1"/>
      <w:numFmt w:val="lowerRoman"/>
      <w:lvlText w:val="%3."/>
      <w:lvlJc w:val="right"/>
      <w:pPr>
        <w:ind w:left="2000" w:hanging="180"/>
      </w:pPr>
      <w:rPr/>
    </w:lvl>
    <w:lvl w:ilvl="3">
      <w:start w:val="1"/>
      <w:numFmt w:val="decimal"/>
      <w:lvlText w:val="%4."/>
      <w:lvlJc w:val="left"/>
      <w:pPr>
        <w:ind w:left="2720" w:hanging="360"/>
      </w:pPr>
      <w:rPr/>
    </w:lvl>
    <w:lvl w:ilvl="4">
      <w:start w:val="1"/>
      <w:numFmt w:val="lowerLetter"/>
      <w:lvlText w:val="%5."/>
      <w:lvlJc w:val="left"/>
      <w:pPr>
        <w:ind w:left="3440" w:hanging="360"/>
      </w:pPr>
      <w:rPr/>
    </w:lvl>
    <w:lvl w:ilvl="5">
      <w:start w:val="1"/>
      <w:numFmt w:val="lowerRoman"/>
      <w:lvlText w:val="%6."/>
      <w:lvlJc w:val="right"/>
      <w:pPr>
        <w:ind w:left="4160" w:hanging="180"/>
      </w:pPr>
      <w:rPr/>
    </w:lvl>
    <w:lvl w:ilvl="6">
      <w:start w:val="1"/>
      <w:numFmt w:val="decimal"/>
      <w:lvlText w:val="%7."/>
      <w:lvlJc w:val="left"/>
      <w:pPr>
        <w:ind w:left="4880" w:hanging="360"/>
      </w:pPr>
      <w:rPr/>
    </w:lvl>
    <w:lvl w:ilvl="7">
      <w:start w:val="1"/>
      <w:numFmt w:val="lowerLetter"/>
      <w:lvlText w:val="%8."/>
      <w:lvlJc w:val="left"/>
      <w:pPr>
        <w:ind w:left="5600" w:hanging="360"/>
      </w:pPr>
      <w:rPr/>
    </w:lvl>
    <w:lvl w:ilvl="8">
      <w:start w:val="1"/>
      <w:numFmt w:val="lowerRoman"/>
      <w:lvlText w:val="%9."/>
      <w:lvlJc w:val="right"/>
      <w:pPr>
        <w:ind w:left="632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480" w:lineRule="auto"/>
    </w:pPr>
    <w:rPr>
      <w:b w:val="1"/>
      <w:bCs w:val="1"/>
      <w:smallCaps w:val="1"/>
    </w:rPr>
  </w:style>
  <w:style w:type="paragraph" w:styleId="Heading2">
    <w:name w:val="heading 2"/>
    <w:basedOn w:val="Normal"/>
    <w:next w:val="Normal"/>
    <w:pPr>
      <w:keepNext w:val="1"/>
      <w:spacing w:after="240" w:before="240" w:lineRule="auto"/>
    </w:pPr>
    <w:rPr>
      <w:b w:val="1"/>
      <w:bCs w:val="1"/>
    </w:rPr>
  </w:style>
  <w:style w:type="paragraph" w:styleId="Heading3">
    <w:name w:val="heading 3"/>
    <w:basedOn w:val="Normal"/>
    <w:next w:val="Normal"/>
    <w:pPr>
      <w:ind w:left="354"/>
    </w:pPr>
    <w:rPr>
      <w:u w:val="singl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www.mathtype.com" TargetMode="External"/><Relationship Id="rId10" Type="http://schemas.openxmlformats.org/officeDocument/2006/relationships/footer" Target="footer1.xml"/><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5" Type="http://schemas.openxmlformats.org/officeDocument/2006/relationships/image" Target="media/image1.png"/><Relationship Id="rId14" Type="http://schemas.openxmlformats.org/officeDocument/2006/relationships/image" Target="media/image2.png"/><Relationship Id="rId16" Type="http://schemas.openxmlformats.org/officeDocument/2006/relationships/hyperlink" Target="http://www.crossref.org/guestquery/%23."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jpg"/><Relationship Id="rId8" Type="http://schemas.openxmlformats.org/officeDocument/2006/relationships/image" Target="media/image7.png"/><Relationship Id="rId100" Type="http://schemas.openxmlformats.org/officeDocument/2006/relationships/image" Target="media/image8.png"/><Relationship Id="rId10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w3a3KgnHXKBxwO8MeGqm71t7sA==">CgMxLjAyD2lkLjkyamxtNHI2c29sdjIPaWQuNnFvaXNvZ3BubmhwMg9pZC5wYzMyZTVyYTJrZzgyD2lkLm1rMWcyczZtYjRldDIPaWQuNmdybG02Znh4bDZzMg9pZC4zbDR1YWF4Y2Rub3gyDmlkLmc3cTJzdDUzanBlMg9pZC5taHZzcjRmeTZsNTgyD2lkLjU1cWhrNHVqN2JjbTIPaWQuOXFrYW56b3ZjdjdrMg9pZC4xb3AxN3ZhMm56YzAyD2lkLmxveDM3endybmFyYjIPaWQuaWR5YjE0dTE3b3VjOAByITFfX3Y1dXgzMTRqLTlobDNmUmpiVGxDSWFMS3hPTGow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ies>
</file>