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22"/>
          <w:szCs w:val="22"/>
          <w:highlight w:val="yellow"/>
        </w:rPr>
      </w:pPr>
      <w:bookmarkStart w:colFirst="0" w:colLast="0" w:name="_dqdkofg993lf" w:id="0"/>
      <w:bookmarkEnd w:id="0"/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Bitacora de IA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59" w:lineRule="auto"/>
        <w:rPr>
          <w:sz w:val="22"/>
          <w:szCs w:val="22"/>
        </w:rPr>
      </w:pPr>
      <w:bookmarkStart w:colFirst="0" w:colLast="0" w:name="_dehsxwia0au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Vibe Coding con IA: </w:t>
      </w:r>
      <w:r w:rsidDel="00000000" w:rsidR="00000000" w:rsidRPr="00000000">
        <w:rPr>
          <w:sz w:val="22"/>
          <w:szCs w:val="22"/>
          <w:rtl w:val="0"/>
        </w:rPr>
        <w:t xml:space="preserve">Usar la IA para convertir descripciones del negocio en alternativas de arquitectura, generar estructura inicial, revisar código y producir borradores de diagramas.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="259" w:lineRule="auto"/>
        <w:rPr>
          <w:b w:val="1"/>
          <w:bCs w:val="1"/>
          <w:sz w:val="22"/>
          <w:szCs w:val="22"/>
        </w:rPr>
      </w:pPr>
      <w:bookmarkStart w:colFirst="0" w:colLast="0" w:name="_5zooyhhhjcw0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tbl>
      <w:tblPr>
        <w:tblStyle w:val="Table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930"/>
        <w:gridCol w:w="1890"/>
        <w:gridCol w:w="1800"/>
        <w:gridCol w:w="1470"/>
        <w:gridCol w:w="1800"/>
        <w:tblGridChange w:id="0">
          <w:tblGrid>
            <w:gridCol w:w="630"/>
            <w:gridCol w:w="930"/>
            <w:gridCol w:w="1890"/>
            <w:gridCol w:w="1800"/>
            <w:gridCol w:w="1470"/>
            <w:gridCol w:w="18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9a33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Iteración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a33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a33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Prompt o enlace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a33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Respuesta útil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a33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Error o supuesto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a33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Decisión del equipo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Elegir el patrón de lógica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Patrones: Con base en las reglas del BRD de RutaNorte Logistics (la orden de servicio solo se genera tras la aceptación de la cotización; ocho estados del servicio; nueve excepciones; historial obligatorio; unidad con capacidad suficiente y operador disponible) y en los casos de uso CU-01 a CU-05, compara Transaction Script, Table Module y Domain Model. Declara tus supuestos y no elijas una opción hasta mostrar sus consecuencias.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Tabla comparativa con criterios del caso (complejidad de reglas, cambios esperados, interacción entre conceptos, estados e invariantes) y evidencia de la Unidad 2. Recomendó Domain Model para cotización, orden, asignación, entrega e incidencias, y una consulta simple para leer estado e indicadores.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Supuesto: el BRD no define tecnología de base de datos ni límites numéricos de capacidad.</w:t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Riesgo señalado: sobre-modelar; se acotó a lo que aparece en el BRD.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Se acepta Domain Model como patrón principal y se delimita una excepción: la lectura de indicadores e historial usa consulta directa (ADR-001 y ADR-003).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mapa de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Dominio: Revisa este glosario de RutaNorte Logistics (26 términos) y estas reglas del BRD [cotización, orden de servicio, asignación, entrega, incidencia, evidencia, historial]. Propón candidatos a entidades, Value Objects, Aggregates y Domain Events. Para cada candidato, indica la evidencia utilizada y las dudas que requieren validación humana.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Propuso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Cotizacion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OrdenDeServicio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como agregados,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Unidad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Operador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como entidades, Value Objects (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Peso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Volumen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Mercancia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Asignacion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Destinatario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el servicio de dominio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AsignadorDeRecursos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siete eventos de dominio.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Error detectado: los nombres del diagrama y del código no coincidían del todo con el glosario de la Unidad 2 («servicio» vs. «orden de servicio», «recolección» vs. «recepción», «capacidad» sin concretar).</w:t>
            </w:r>
          </w:p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Duda: si Unidad y Operador debían quedar dentro de la orden.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Unidad y Operador se dejan como entidades propias y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Cotizacion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OrdenDeServicio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como agregados separados (ADR-005). Se actualizó el glosario con términos corregidos y nuevos para que coincida con UML y código.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la Service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Layer: A partir de estos casos de uso de RutaNorte [CU-01 responder cotización, CU-02 generar orden, CU-03 asignar unidad y operador, CU-04 registrar entrega o incidencia, CU-05 consultar estado], propone firmas de Application Services. Separa la coordinación de las reglas de dominio y explica cualquier responsabilidad dudosa.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Un handler por caso de uso que recibe un Command o una Query, abre la unidad de trabajo, invoca el dominio, confirma y publica eventos. Las reglas (estado, capacidad, disponibilidad) quedan en el dominio.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Error detectado: una primera versión del ADR de persistencia asumía clases de base de datos («Bd…») que el BRD no define; el servicio dependía de un detalle concreto.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Se reemplazaron por interfaces del dominio (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IOrdenServicioRepository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IUnitOfWork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con implementaciones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EnMemoria…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los handlers dependen solo de interfaces y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composicion.py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 el único punto que conecta la infraestructura (ADR-002).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la propuesta con SOLID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SOLID: Analiza este diseño de RutaNorte Logistics [diagrama de clases, handlers, repositorios y políticas] y señala posibles violaciones SOLID. No reescribas todo; identifica evidencia, riesgo y alternativas para que el equipo decida.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Ocho hallazgos: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OrdenDeServicio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concentra mucho comportamiento (S);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PoliticaDeCapacidad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permite agregar reglas sin editar condicionales (O); las implementaciones en memoria respetan los contratos (L);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IConsultaDeServicios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separa lectura de escritura (I); dominio y aplicación no importan infraestructura (D).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Supuesto de la IA: tendía a presentar todo como correcto. El equipo pidió separar lo confirmado de los riesgos reales.</w:t>
            </w:r>
          </w:p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Riesgos: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OrdenDeServicio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extensa,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IUnitOfWork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expone los cuatro repositorios, solo existe una implementación por interfaz.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Se sustituyó la condición fija de capacidad por la abstracción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PoliticaDeCapacidad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(ADR-004). Los otros riesgos se aceptan y documentan como mejoras posibles, sin ocultarlos en el informe.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Representar la arquitectura (UML, secuencias y BPMN)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Diagramas: Convierte esta arquitectura validada de RutaNorte Logistics [clases, handlers, repositorios y casos de uso CU-03 y CU-04] en un borrador PlantUML. No agregues clases, reglas o relaciones que no aparezcan en la descripción. Genera también el BPMN fiel al BRD.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Archivos fuente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.puml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del diagrama de clases (dominio, aplicación e infraestructura en colores distintos) y de dos secuencias (asignar recursos y registrar entrega), y el BPMN 2.0 con diagrama.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Errores detectados: (1) el BPMN usaba IDs distintos a la matriz de la Unidad 2; (2) el diagrama de clases salió demasiado ancho; (3) en la secuencia 2 la rama de error seguía guardando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(1) Se unificaron los IDs con los de la matriz (T1…T23, G1…G4, E1…E7). (2) Se depuraron relaciones y se reorganizó el diseño. (3) Cada rama termina en confirmar o revertir, y la rama de error no publica eventos.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los pendientes del BRD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Pendientes: El BRD de RutaNorte Logistics dejó sin definir los límites de capacidad, los controles para carga de alto valor, la conservación de evidencias, la autoridad para cancelar y la definición de «cumplimiento de entregas». Propón cómo tratarlos según la guía de la Unidad 3, sin inventar reglas del negocio.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Ofreció opciones; la elegida fue modelar cada pendiente como supuesto explícito y configurable (S-01 a S-05), marcado «pendiente de validar», con una pregunta para el stakeholder.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Supuestos de la IA: Operaciones autoriza el alto valor y la cancelación; el cumplimiento se mide contra la fecha requerida; sin tope ni caducidad por defecto.</w:t>
            </w:r>
          </w:p>
          <w:p w:rsidR="00000000" w:rsidDel="00000000" w:rsidP="00000000" w:rsidRDefault="00000000" w:rsidRPr="00000000" w14:paraId="00000030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Cambio de alcance: nuevo estado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CANCELADO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eligió la opción 1: supuestos configurables y marcados como pendientes. Se documentaron en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05_supuestos_pendientes.md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el ADR-006, y se agregaron 12 pruebas.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0" w:before="0" w:line="259" w:lineRule="auto"/>
        <w:rPr>
          <w:b w:val="1"/>
          <w:bCs w:val="1"/>
          <w:sz w:val="22"/>
          <w:szCs w:val="22"/>
        </w:rPr>
      </w:pPr>
      <w:bookmarkStart w:colFirst="0" w:colLast="0" w:name="_5zooyhhhjcw0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140" w:before="200" w:line="259" w:lineRule="auto"/>
        <w:rPr>
          <w:b w:val="1"/>
          <w:bCs w:val="1"/>
          <w:sz w:val="26"/>
          <w:szCs w:val="26"/>
        </w:rPr>
      </w:pPr>
      <w:bookmarkStart w:colFirst="0" w:colLast="0" w:name="_dso0qht8tv8z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40" w:before="200" w:line="259" w:lineRule="auto"/>
        <w:rPr>
          <w:b w:val="1"/>
          <w:bCs w:val="1"/>
          <w:sz w:val="26"/>
          <w:szCs w:val="26"/>
        </w:rPr>
      </w:pPr>
      <w:bookmarkStart w:colFirst="0" w:colLast="0" w:name="_5zooyhhhjcw0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Propuestas de la IA que se corrigieron o rechazaron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00" w:before="0" w:line="259" w:lineRule="auto"/>
        <w:rPr>
          <w:b w:val="1"/>
          <w:bCs w:val="1"/>
          <w:sz w:val="22"/>
          <w:szCs w:val="22"/>
        </w:rPr>
      </w:pPr>
      <w:bookmarkStart w:colFirst="0" w:colLast="0" w:name="_5zooyhhhjcw0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Resumen para la defensa: qué propuesta de la IA se corrigió y por qué.</w:t>
      </w:r>
    </w:p>
    <w:tbl>
      <w:tblPr>
        <w:tblStyle w:val="Table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7992413357092"/>
        <w:gridCol w:w="3502.489223518594"/>
        <w:gridCol w:w="3520.223346169321"/>
        <w:tblGridChange w:id="0">
          <w:tblGrid>
            <w:gridCol w:w="1480.7992413357092"/>
            <w:gridCol w:w="3502.489223518594"/>
            <w:gridCol w:w="3520.22334616932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9a33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a33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Problema de la propuesta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d9a33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Corrección humana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Unidad 2 ↔ BPMN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IDs distintos a los de la matriz de trazabilidad del reporte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Se unificaron los IDs; se agregaron los nuevos y se actualizó la matriz.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Glosario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Nombres del código y diagramas que no coincidían con el glosario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Se actualizó el glosario y se añadió la columna «Nombre en diagramas y código».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Clases de base de datos («Bd…») no definidas en el BRD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Se sustituyeron por interfaces del dominio e implementaciones en memoria.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Secuencia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La rama de error seguía guardando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eaf1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Cada rama termina en confirmar o revertir, sin publicar eventos en caso de error.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keepNext w:val="0"/>
              <w:keepLines w:val="0"/>
              <w:spacing w:after="40" w:before="0" w:line="259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Pendientes del BRD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Riesgo de inventar reglas del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pacing w:after="40" w:before="0" w:line="259" w:lineRule="auto"/>
              <w:rPr>
                <w:sz w:val="18"/>
                <w:szCs w:val="18"/>
              </w:rPr>
            </w:pPr>
            <w:bookmarkStart w:colFirst="0" w:colLast="0" w:name="_5zooyhhhjcw0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Se trataron como supuestos S-01 a S-05, configurables y por validar.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140" w:before="200" w:line="259" w:lineRule="auto"/>
        <w:rPr/>
      </w:pPr>
      <w:bookmarkStart w:colFirst="0" w:colLast="0" w:name="_idzgc4sp9ybk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