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0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88"/>
        <w:gridCol w:w="1742"/>
        <w:gridCol w:w="2863"/>
        <w:tblGridChange w:id="0">
          <w:tblGrid>
            <w:gridCol w:w="4888"/>
            <w:gridCol w:w="1742"/>
            <w:gridCol w:w="2863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after="16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03">
            <w:pPr>
              <w:spacing w:after="1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Ximena Montserrat Ovalle Vallejo </w:t>
            </w:r>
          </w:p>
          <w:p w:rsidR="00000000" w:rsidDel="00000000" w:rsidP="00000000" w:rsidRDefault="00000000" w:rsidRPr="00000000" w14:paraId="00000004">
            <w:pPr>
              <w:spacing w:after="1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Santiago Almanza Moreno </w:t>
            </w:r>
          </w:p>
          <w:p w:rsidR="00000000" w:rsidDel="00000000" w:rsidP="00000000" w:rsidRDefault="00000000" w:rsidRPr="00000000" w14:paraId="00000005">
            <w:pPr>
              <w:spacing w:after="1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Javier Hernández Huerta 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08">
            <w:pPr>
              <w:spacing w:after="1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1999238 </w:t>
            </w:r>
          </w:p>
          <w:p w:rsidR="00000000" w:rsidDel="00000000" w:rsidP="00000000" w:rsidRDefault="00000000" w:rsidRPr="00000000" w14:paraId="00000009">
            <w:pPr>
              <w:spacing w:after="1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2001903 </w:t>
            </w:r>
          </w:p>
          <w:p w:rsidR="00000000" w:rsidDel="00000000" w:rsidP="00000000" w:rsidRDefault="00000000" w:rsidRPr="00000000" w14:paraId="0000000A">
            <w:pPr>
              <w:spacing w:after="1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2089204 </w:t>
            </w:r>
          </w:p>
        </w:tc>
      </w:tr>
      <w:tr>
        <w:trPr>
          <w:cantSplit w:val="0"/>
          <w:trHeight w:val="222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curso: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spacing w:after="16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Componentes de Lógica de Negocio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spacing w:after="16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profesor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0E">
            <w:pPr>
              <w:spacing w:after="1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Miguel Ángel Gómez Marroquín</w:t>
            </w:r>
          </w:p>
        </w:tc>
      </w:tr>
      <w:tr>
        <w:trPr>
          <w:cantSplit w:val="0"/>
          <w:trHeight w:val="121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Netacad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spacing w:after="16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  <w:t xml:space="preserve">: Actividad Unidad 3. Diseño arquitectural del sistema con IA </w:t>
            </w:r>
          </w:p>
          <w:p w:rsidR="00000000" w:rsidDel="00000000" w:rsidP="00000000" w:rsidRDefault="00000000" w:rsidRPr="00000000" w14:paraId="00000012">
            <w:pPr>
              <w:spacing w:after="16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Decision Records.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spacing w:after="16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  <w:t xml:space="preserve">: 14/ 10/ 2026</w:t>
            </w:r>
          </w:p>
        </w:tc>
      </w:tr>
      <w:tr>
        <w:trPr>
          <w:cantSplit w:val="0"/>
          <w:trHeight w:val="5647.5488281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7">
            <w:pPr>
              <w:spacing w:after="16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Bibliografia (Formato APA)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Universidad Europea. (s. f.). ¿Qué son los stakeholders y cuáles son sus tipos? Blog Universidad Europea.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https://universidadeuropea.com/blog/stakeholders/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Mecalux. (2025, 18 de septiembre). Trazabilidad: qué es y cómo implementarla. Blog Mecalux. https://www.mecalux.com.mx/blog/trazabilidad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Slite. (2024, 19 de septiembre). Cómo escribir un documento de requisitos comerciales (BRD).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https://slite.com/es/learn/documento-de-requisitos-comerciales-brd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HEFLO. (2024, 5 de agosto). Guía completa del Documento de Requisitos de Negocio (BRD): Definición, componentes e importancia.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https://www.heflo.com/es/blog/documento-requisitos-negocio-brd-2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Atlassian. (s. f.). Historias de usuario: Qué son, cómo escribirlas y ejemplos. Atlassian Agile Coach.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https://www.atlassian.com/es/agile/project-management/user-stories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16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Mountain Goat Software. (2026, 12 de julio). User stories: What they are, how to write them, and examples.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https://www.mountaingoatsoftware.com/agile/user-stories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yf7yp09dlkcg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5k53dbcivk4f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Architecture Decision Records</w:t>
      </w:r>
    </w:p>
    <w:tbl>
      <w:tblPr>
        <w:tblStyle w:val="Table2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2.0567080557241"/>
        <w:gridCol w:w="4606.068897637796"/>
        <w:gridCol w:w="2875.3862053301036"/>
        <w:tblGridChange w:id="0">
          <w:tblGrid>
            <w:gridCol w:w="1022.0567080557241"/>
            <w:gridCol w:w="4606.068897637796"/>
            <w:gridCol w:w="2875.386205330103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Decisión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Domain Model como patrón principal de lógica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Repository en términos del dominio y Unit of Work por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Aceptada (la tecnología de base de datos sigue sin definirse; hoy hay implementación en memoria)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CQRS básico (Commands/Queries) sin bases de datos separadas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Capacidad de la unidad mediante la abstracción PoliticaDeCapacidad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Propuesta (depende de validar las políticas reales con el stakeholder)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OrdenDeServicio como agregado que contiene estado, asignación, historial e incidencias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Aceptada (decisión dudosa documentada)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Los pendientes del BRD se modelan como supuestos explícitos y configurables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Propuesta (los supuestos deben validarse con el stakeholder)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Domain Model como patrón principal de lógica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Repository y Unit of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 archivo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CQRS básico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 archivo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Capacidad de la unidad mediante la abstracción PoliticaDeCapacidad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Propuesta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Límite del agregado OrdenDeServicio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 archivo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Supuestos pendientes como parámetros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 archivo</w:t>
            </w:r>
          </w:p>
        </w:tc>
      </w:tr>
    </w:tbl>
    <w:p w:rsidR="00000000" w:rsidDel="00000000" w:rsidP="00000000" w:rsidRDefault="00000000" w:rsidRPr="00000000" w14:paraId="0000004C">
      <w:pPr>
        <w:spacing w:line="259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ld2x0ib9qfu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xtvs7jpvy1nc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ADR-001: Domain Model como patrón principal de lógica de negocio</w:t>
      </w:r>
    </w:p>
    <w:p w:rsidR="00000000" w:rsidDel="00000000" w:rsidP="00000000" w:rsidRDefault="00000000" w:rsidRPr="00000000" w14:paraId="0000004F">
      <w:pPr>
        <w:spacing w:after="12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Aceptada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uaq0dkpey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Contexto</w:t>
      </w:r>
    </w:p>
    <w:p w:rsidR="00000000" w:rsidDel="00000000" w:rsidP="00000000" w:rsidRDefault="00000000" w:rsidRPr="00000000" w14:paraId="00000051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RutaNorte Logistics debe controlar el ciclo de vida de una orden de servicio con ocho estados (solicitado, cotizado, confirmado, unidad asignada, recolectado, en tránsito, llegada a destino, entregado), nueve excepciones (operador no disponible, unidad averiada, mercancía diferente/rechazada/dañada, dirección incorrecta, destinatario ausente, entrega parcial) y un historial de cambios obligatorio. Reglas conocidas: la orden solo nace de una cotización aceptada; una cotización solo se modifica mientras está en proceso; la unidad debe tener capacidad suficiente y el operador debe estar disponible; las evidencias deben quedar asociadas al servicio; los cambios posteriores a la orden se revisan con Operaciones.</w:t>
      </w:r>
    </w:p>
    <w:p w:rsidR="00000000" w:rsidDel="00000000" w:rsidP="00000000" w:rsidRDefault="00000000" w:rsidRPr="00000000" w14:paraId="00000052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Pendientes del BRD (no se inventan): límites numéricos de capacidad, controles de alto valor, conservación de evidencias, autoridad para cancelar.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2n0ls8epeiv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Alternativas</w:t>
      </w:r>
    </w:p>
    <w:tbl>
      <w:tblPr>
        <w:tblStyle w:val="Table3"/>
        <w:tblW w:w="85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6.4466070954618"/>
        <w:gridCol w:w="2156.5888702114485"/>
        <w:gridCol w:w="2156.5888702114485"/>
        <w:gridCol w:w="2183.8874635052643"/>
        <w:tblGridChange w:id="0">
          <w:tblGrid>
            <w:gridCol w:w="2006.4466070954618"/>
            <w:gridCol w:w="2156.5888702114485"/>
            <w:gridCol w:w="2156.5888702114485"/>
            <w:gridCol w:w="2183.887463505264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 del caso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Transaction Script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Table Module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Domain Model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Complejidad de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Reglas repartidas en un script por operación; se duplican (p. ej. validar estado en cada script).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Reglas por tabla; difícil expresar reglas que cruzan orden, unidad y operador.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Reglas junto a los datos que protegen (orden, cotización).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Cambios esperados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Cada política nueva (capacidad, alto valor) toca varios scripts.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Cambios localizados por tabla, pero reglas cruzadas se dispersan.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Cambios en una clase o en una política intercambiable.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Interacción entre conceptos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Coordinación manual y repetida.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Débil entre módulos.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line="259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Natural: orden ↔ asignación ↔ incidencias ↔ evidencias.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Estados e invariantes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 validan por convención.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 validan por convención.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 raíz del agregado impide transiciones inválidas.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Bajo al inicio, alto al crecer.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Mayor modelado inicial y curva de aprendizaje.</w:t>
            </w:r>
          </w:p>
        </w:tc>
      </w:tr>
    </w:tbl>
    <w:p w:rsidR="00000000" w:rsidDel="00000000" w:rsidP="00000000" w:rsidRDefault="00000000" w:rsidRPr="00000000" w14:paraId="0000006C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dpcnedwc6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Decisión</w:t>
      </w:r>
    </w:p>
    <w:p w:rsidR="00000000" w:rsidDel="00000000" w:rsidP="00000000" w:rsidRDefault="00000000" w:rsidRPr="00000000" w14:paraId="0000006E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Se usa </w:t>
      </w:r>
      <w:r w:rsidDel="00000000" w:rsidR="00000000" w:rsidRPr="00000000">
        <w:rPr>
          <w:b w:val="1"/>
          <w:bCs w:val="1"/>
          <w:rtl w:val="0"/>
        </w:rPr>
        <w:t xml:space="preserve">Domain Model</w:t>
      </w:r>
      <w:r w:rsidDel="00000000" w:rsidR="00000000" w:rsidRPr="00000000">
        <w:rPr>
          <w:rtl w:val="0"/>
        </w:rPr>
        <w:t xml:space="preserve"> para el proceso de cotización, orden de servicio, asignación, entrega e incidencias. Se acepta un enfoque simple (consulta directa, sin dominio rico) solo para la lectura de indicadores e historial (ver ADR-003).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snhn805a5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Consecuencias</w:t>
      </w:r>
    </w:p>
    <w:p w:rsidR="00000000" w:rsidDel="00000000" w:rsidP="00000000" w:rsidRDefault="00000000" w:rsidRPr="00000000" w14:paraId="00000070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Beneficio: las transiciones de estado, el historial y las excepciones quedan protegidos en OrdenDeServicio.</w:t>
      </w:r>
    </w:p>
    <w:p w:rsidR="00000000" w:rsidDel="00000000" w:rsidP="00000000" w:rsidRDefault="00000000" w:rsidRPr="00000000" w14:paraId="00000071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Costo: más clases y más diseño previo; el equipo debe mantener el lenguaje ubicuo del glosario.</w:t>
      </w:r>
    </w:p>
    <w:p w:rsidR="00000000" w:rsidDel="00000000" w:rsidP="00000000" w:rsidRDefault="00000000" w:rsidRPr="00000000" w14:paraId="00000072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Riesgo: sobre-modelar. Se mitiga modelando solo lo que aparece en el BRD.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b6vesflxmj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Trazabilidad</w:t>
      </w:r>
    </w:p>
    <w:p w:rsidR="00000000" w:rsidDel="00000000" w:rsidP="00000000" w:rsidRDefault="00000000" w:rsidRPr="00000000" w14:paraId="00000074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Necesidades N1, N2, N4, N5; US-03, US-06, US-07, US-08, US-10, US-11, US-12, US-17; BPMN: G1 (¿Respuesta del cliente?), G2 (¿Unidad adecuada y operador disponible?), G3 (¿Coincide con lo declarado?), G4 (¿Entrega posible, completa y sin daño?); CU-01 a CU-04.</w:t>
      </w:r>
    </w:p>
    <w:p w:rsidR="00000000" w:rsidDel="00000000" w:rsidP="00000000" w:rsidRDefault="00000000" w:rsidRPr="00000000" w14:paraId="00000075">
      <w:pPr>
        <w:spacing w:line="259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c5nycoip8tcg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ADR-002: Repository en términos del dominio y Unit of Work por caso de uso</w:t>
      </w:r>
    </w:p>
    <w:p w:rsidR="00000000" w:rsidDel="00000000" w:rsidP="00000000" w:rsidRDefault="00000000" w:rsidRPr="00000000" w14:paraId="00000077">
      <w:pPr>
        <w:spacing w:after="12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Aceptada (la tecnología de base de datos sigue sin definirse; hoy hay implementación en memoria)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vqlfdfj5ep6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Contexto</w:t>
      </w:r>
    </w:p>
    <w:p w:rsidR="00000000" w:rsidDel="00000000" w:rsidP="00000000" w:rsidRDefault="00000000" w:rsidRPr="00000000" w14:paraId="00000079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El BRD exige centralizar la información del servicio (N1) y conservar un historial de cambios (N2, N4). Un caso de uso como "asignar unidad y operador" modifica la orden y debe confirmarse o revertirse completo. El BRD no define la tecnología de persistencia.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jxu85vw7hm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Alternativas</w:t>
      </w:r>
    </w:p>
    <w:p w:rsidR="00000000" w:rsidDel="00000000" w:rsidP="00000000" w:rsidRDefault="00000000" w:rsidRPr="00000000" w14:paraId="0000007B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Que los servicios de aplicación ejecuten consultas SQL directamente: rápido, pero acopla aplicación y dominio a la base de datos y rompe DIP.</w:t>
      </w:r>
    </w:p>
    <w:p w:rsidR="00000000" w:rsidDel="00000000" w:rsidP="00000000" w:rsidRDefault="00000000" w:rsidRPr="00000000" w14:paraId="0000007C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Un repositorio genérico CRUD por tabla: expone la estructura de datos, no necesidades del dominio.</w:t>
      </w:r>
    </w:p>
    <w:p w:rsidR="00000000" w:rsidDel="00000000" w:rsidP="00000000" w:rsidRDefault="00000000" w:rsidRPr="00000000" w14:paraId="0000007D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</w:t>
      </w:r>
      <w:r w:rsidDel="00000000" w:rsidR="00000000" w:rsidRPr="00000000">
        <w:rPr>
          <w:b w:val="1"/>
          <w:bCs w:val="1"/>
          <w:rtl w:val="0"/>
        </w:rPr>
        <w:t xml:space="preserve">Repository por agregado/entidad con Unit of Work</w:t>
      </w:r>
      <w:r w:rsidDel="00000000" w:rsidR="00000000" w:rsidRPr="00000000">
        <w:rPr>
          <w:rtl w:val="0"/>
        </w:rPr>
        <w:t xml:space="preserve">: interfaces con lenguaje del dominio; la implementación se aísla en infraestructura.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mmaodk5z9mh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Decisión</w:t>
      </w:r>
    </w:p>
    <w:p w:rsidR="00000000" w:rsidDel="00000000" w:rsidP="00000000" w:rsidRDefault="00000000" w:rsidRPr="00000000" w14:paraId="0000007F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Se definen ICotizacionRepository, IOrdenServicioRepository, IUnidadRepository e IOperadorRepository (métodos obtenerPorId y guardar) en el dominio, e IUnitOfWork en la aplicación. La transacción inicia al comenzar el handle del caso de uso y termina con confirmar(); ante un error de dominio se llama revertir() y no se publica ningún evento. Las implementaciones EnMemoria... (EnMemoriaUnitOfWork, EnMemoria*Repository, EnMemoriaConsultaDeServicios) viven en infraestructura y simulan la transacción con una instantánea que se restaura si no se confirma.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qg2fmmjsx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Consecuencias</w:t>
      </w:r>
    </w:p>
    <w:p w:rsidR="00000000" w:rsidDel="00000000" w:rsidP="00000000" w:rsidRDefault="00000000" w:rsidRPr="00000000" w14:paraId="00000081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Beneficio: el dominio no conoce SQL ni ORM; las pruebas usan repositorios en memoria.</w:t>
      </w:r>
    </w:p>
    <w:p w:rsidR="00000000" w:rsidDel="00000000" w:rsidP="00000000" w:rsidRDefault="00000000" w:rsidRPr="00000000" w14:paraId="00000082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Costo: una capa más de código.</w:t>
      </w:r>
    </w:p>
    <w:p w:rsidR="00000000" w:rsidDel="00000000" w:rsidP="00000000" w:rsidRDefault="00000000" w:rsidRPr="00000000" w14:paraId="00000083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Riesgo: la implementación en memoria no persiste; cuando el negocio defina la tecnología solo se reemplaza infraestructura.</w:t>
      </w:r>
    </w:p>
    <w:p w:rsidR="00000000" w:rsidDel="00000000" w:rsidP="00000000" w:rsidRDefault="00000000" w:rsidRPr="00000000" w14:paraId="00000084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Trabajo posterior: decidir cómo se almacenan los archivos de evidencia (pendiente de conservación en el BRD).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nrrbt9182k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Trazabilidad</w:t>
      </w:r>
    </w:p>
    <w:p w:rsidR="00000000" w:rsidDel="00000000" w:rsidP="00000000" w:rsidRDefault="00000000" w:rsidRPr="00000000" w14:paraId="00000086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N1, N2, N4; US-05, US-08, US-10; restricción del BRD "las evidencias deben permanecer asociadas al servicio"; secuencias 03a y 03b (inicio, guardar, confirmar y revertir); pruebas test_unit_of_work_revierte_si_no_se_confirma y test_cu03_operador_no_disponible_no_cambia_nada.</w:t>
      </w:r>
    </w:p>
    <w:p w:rsidR="00000000" w:rsidDel="00000000" w:rsidP="00000000" w:rsidRDefault="00000000" w:rsidRPr="00000000" w14:paraId="00000087">
      <w:pPr>
        <w:spacing w:line="259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361tsswak6qk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ADR-003: CQRS básico (Commands/Queries) sin bases de datos separadas</w:t>
      </w:r>
    </w:p>
    <w:p w:rsidR="00000000" w:rsidDel="00000000" w:rsidP="00000000" w:rsidRDefault="00000000" w:rsidRPr="00000000" w14:paraId="00000089">
      <w:pPr>
        <w:spacing w:after="12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Aceptada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39iru7bvi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Contexto</w:t>
      </w:r>
    </w:p>
    <w:p w:rsidR="00000000" w:rsidDel="00000000" w:rsidP="00000000" w:rsidRDefault="00000000" w:rsidRPr="00000000" w14:paraId="0000008B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Atención al Cliente depende de Operaciones para conocer el estado de un servicio (problema actual del BRD) y necesita consultar estado, eventos, retrasos e incidencias (N6, US-14). Operaciones necesita indicadores históricos de tiempos, retrasos, incidencias y cumplimiento (N7, US-15). Estas lecturas no deben cargar el agregado completo ni exponer el modelo de escritura.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wkzeloelwb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Alternativas</w:t>
      </w:r>
    </w:p>
    <w:p w:rsidR="00000000" w:rsidDel="00000000" w:rsidP="00000000" w:rsidRDefault="00000000" w:rsidRPr="00000000" w14:paraId="0000008D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Un solo modelo para escribir y consultar: simple, pero las consultas arrastran reglas e invariantes que no necesitan.</w:t>
      </w:r>
    </w:p>
    <w:p w:rsidR="00000000" w:rsidDel="00000000" w:rsidP="00000000" w:rsidRDefault="00000000" w:rsidRPr="00000000" w14:paraId="0000008E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CQRS completo con bases separadas y sincronización por eventos: potente, pero excesivo para el alcance actual.</w:t>
      </w:r>
    </w:p>
    <w:p w:rsidR="00000000" w:rsidDel="00000000" w:rsidP="00000000" w:rsidRDefault="00000000" w:rsidRPr="00000000" w14:paraId="0000008F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</w:t>
      </w:r>
      <w:r w:rsidDel="00000000" w:rsidR="00000000" w:rsidRPr="00000000">
        <w:rPr>
          <w:b w:val="1"/>
          <w:bCs w:val="1"/>
          <w:rtl w:val="0"/>
        </w:rPr>
        <w:t xml:space="preserve">CQRS básico</w:t>
      </w:r>
      <w:r w:rsidDel="00000000" w:rsidR="00000000" w:rsidRPr="00000000">
        <w:rPr>
          <w:rtl w:val="0"/>
        </w:rPr>
        <w:t xml:space="preserve">: Commands con Handler que usan el dominio; Queries con Handler que usan un puerto de lectura y devuelven DTO / View Model.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luyzdk5e214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Decisión</w:t>
      </w:r>
    </w:p>
    <w:p w:rsidR="00000000" w:rsidDel="00000000" w:rsidP="00000000" w:rsidRDefault="00000000" w:rsidRPr="00000000" w14:paraId="00000091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Commands: ResponderCotizacionCommand, GenerarOrdenDeServicioCommand, AsignarRecursosCommand, RegistrarEntregaCommand.</w:t>
      </w:r>
    </w:p>
    <w:p w:rsidR="00000000" w:rsidDel="00000000" w:rsidP="00000000" w:rsidRDefault="00000000" w:rsidRPr="00000000" w14:paraId="00000092">
      <w:pPr>
        <w:spacing w:after="60" w:line="259" w:lineRule="auto"/>
        <w:ind w:left="800" w:hanging="2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   Queries: ConsultarEstadoDelServicioQuery → EstadoDelServicioDTO; ConsultarIndicadoresQuery → IndicadoresDTO, ambas vía IConsultaDeServicios.</w:t>
      </w:r>
    </w:p>
    <w:p w:rsidR="00000000" w:rsidDel="00000000" w:rsidP="00000000" w:rsidRDefault="00000000" w:rsidRPr="00000000" w14:paraId="00000093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Misma base de datos; los DTO de lectura no se reutilizan para escribir.</w:t>
      </w:r>
    </w:p>
    <w:p w:rsidR="00000000" w:rsidDel="00000000" w:rsidP="00000000" w:rsidRDefault="00000000" w:rsidRPr="00000000" w14:paraId="00000094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No se separa la modificación de cotización en proceso (US-03): es una operación simple sin lectura especializada.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cjxo7l9dy7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Consecuencias</w:t>
      </w:r>
    </w:p>
    <w:p w:rsidR="00000000" w:rsidDel="00000000" w:rsidP="00000000" w:rsidRDefault="00000000" w:rsidRPr="00000000" w14:paraId="00000096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Beneficio: Atención al Cliente consulta sin depender de Operaciones ni de mensajes de WhatsApp.</w:t>
      </w:r>
    </w:p>
    <w:p w:rsidR="00000000" w:rsidDel="00000000" w:rsidP="00000000" w:rsidRDefault="00000000" w:rsidRPr="00000000" w14:paraId="00000097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Costo: más clases (comandos, queries, DTO).</w:t>
      </w:r>
    </w:p>
    <w:p w:rsidR="00000000" w:rsidDel="00000000" w:rsidP="00000000" w:rsidRDefault="00000000" w:rsidRPr="00000000" w14:paraId="00000098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Riesgo: inconsistencia si en el futuro se separan las bases; hoy no aplica.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o5fk3epbdsa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Trazabilidad</w:t>
      </w:r>
    </w:p>
    <w:p w:rsidR="00000000" w:rsidDel="00000000" w:rsidP="00000000" w:rsidRDefault="00000000" w:rsidRPr="00000000" w14:paraId="0000009A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N3, N6, N7; US-14, US-15; CU-05; BPMN: T22 (consultar estado, eventos, retrasos e incidencias), T23 (consultar historial), DS1 (registro centralizado).</w:t>
      </w:r>
    </w:p>
    <w:p w:rsidR="00000000" w:rsidDel="00000000" w:rsidP="00000000" w:rsidRDefault="00000000" w:rsidRPr="00000000" w14:paraId="0000009B">
      <w:pPr>
        <w:spacing w:line="259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v5fhff8czwqw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ADR-004: Capacidad de la unidad mediante la abstracción PoliticaDeCapacidad</w:t>
      </w:r>
    </w:p>
    <w:p w:rsidR="00000000" w:rsidDel="00000000" w:rsidP="00000000" w:rsidRDefault="00000000" w:rsidRPr="00000000" w14:paraId="0000009D">
      <w:pPr>
        <w:spacing w:after="12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Propuesta (depende de validar las políticas reales con el stakeholder)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wg0l1mn4kl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Contexto</w:t>
      </w:r>
    </w:p>
    <w:p w:rsidR="00000000" w:rsidDel="00000000" w:rsidP="00000000" w:rsidRDefault="00000000" w:rsidRPr="00000000" w14:paraId="0000009F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El stakeholder confirmó que la unidad debe tener capacidad suficiente y que deben considerarse las características especiales de la mercancía, pero indicó que los límites "tendrían que definirse según las políticas y capacidades de la empresa". El BRD prohíbe inventar valores.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6qh2xsr6sd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Alternativas</w:t>
      </w:r>
    </w:p>
    <w:p w:rsidR="00000000" w:rsidDel="00000000" w:rsidP="00000000" w:rsidRDefault="00000000" w:rsidRPr="00000000" w14:paraId="000000A1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Codificar límites fijos en el servicio de aplicación: inventa reglas y mezcla negocio con coordinación.</w:t>
      </w:r>
    </w:p>
    <w:p w:rsidR="00000000" w:rsidDel="00000000" w:rsidP="00000000" w:rsidRDefault="00000000" w:rsidRPr="00000000" w14:paraId="000000A2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Condicionales dentro de Unidad: cada política nueva obliga a editar la clase (viola abierto/cerrado).</w:t>
      </w:r>
    </w:p>
    <w:p w:rsidR="00000000" w:rsidDel="00000000" w:rsidP="00000000" w:rsidRDefault="00000000" w:rsidRPr="00000000" w14:paraId="000000A3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</w:t>
      </w:r>
      <w:r w:rsidDel="00000000" w:rsidR="00000000" w:rsidRPr="00000000">
        <w:rPr>
          <w:b w:val="1"/>
          <w:bCs w:val="1"/>
          <w:rtl w:val="0"/>
        </w:rPr>
        <w:t xml:space="preserve">Interfaz `PoliticaDeCapacidad` en el dominio</w:t>
      </w:r>
      <w:r w:rsidDel="00000000" w:rsidR="00000000" w:rsidRPr="00000000">
        <w:rPr>
          <w:rtl w:val="0"/>
        </w:rPr>
        <w:t xml:space="preserve">, usada por el servicio de dominio AsignadorDeRecursos.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0simua8eqo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Decisión</w:t>
      </w:r>
    </w:p>
    <w:p w:rsidR="00000000" w:rsidDel="00000000" w:rsidP="00000000" w:rsidRDefault="00000000" w:rsidRPr="00000000" w14:paraId="000000A5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Se define PoliticaDeCapacidad.permite(unidad, mercancia) y PoliticaDeCapacidadEmpresa, que solo aplica la regla confirmada ("la unidad debe tener capacidad suficiente": la carga no supera la capacidad registrada de la unidad). No hay límites propios de la empresa; lo demás queda pendiente. AsignadorDeRecursos lanza RecursosNoDisponibles si la unidad no es adecuada o el operador no está disponible.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sthv1u9s78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Consecuencias</w:t>
      </w:r>
    </w:p>
    <w:p w:rsidR="00000000" w:rsidDel="00000000" w:rsidP="00000000" w:rsidRDefault="00000000" w:rsidRPr="00000000" w14:paraId="000000A7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Beneficio: cuando existan las políticas reales solo se completa una implementación; los controles de carga de alto valor (N8) podrán añadirse como otra política.</w:t>
      </w:r>
    </w:p>
    <w:p w:rsidR="00000000" w:rsidDel="00000000" w:rsidP="00000000" w:rsidRDefault="00000000" w:rsidRPr="00000000" w14:paraId="000000A8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Costo: una abstracción que hoy tiene una sola implementación.</w:t>
      </w:r>
    </w:p>
    <w:p w:rsidR="00000000" w:rsidDel="00000000" w:rsidP="00000000" w:rsidRDefault="00000000" w:rsidRPr="00000000" w14:paraId="000000A9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Trabajo posterior: validar el supuesto S-01 (¿existe un tope propio de la empresa?); si existe se configura en PoliticaDeCapacidadEmpresa. Los controles de alto valor se resolvieron aparte (S-02, ADR-006).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z5yrpqbrzh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Trazabilidad</w:t>
      </w:r>
    </w:p>
    <w:p w:rsidR="00000000" w:rsidDel="00000000" w:rsidP="00000000" w:rsidRDefault="00000000" w:rsidRPr="00000000" w14:paraId="000000AB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N8; US-07, US-08, US-16; restricciones del BRD sobre capacidad; BPMN: G2, T6, T7; secuencia 03a; pruebas test_cu03_unidad_sin_capacidad_suficiente_se_rechaza y test_cu03_operador_no_disponible_no_cambia_nada.</w:t>
      </w:r>
    </w:p>
    <w:p w:rsidR="00000000" w:rsidDel="00000000" w:rsidP="00000000" w:rsidRDefault="00000000" w:rsidRPr="00000000" w14:paraId="000000AC">
      <w:pPr>
        <w:spacing w:line="259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th4vzhu3hog5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ADR-005: OrdenDeServicio como agregado que contiene estado, asignación, historial e incidencias</w:t>
      </w:r>
    </w:p>
    <w:p w:rsidR="00000000" w:rsidDel="00000000" w:rsidP="00000000" w:rsidRDefault="00000000" w:rsidRPr="00000000" w14:paraId="000000AE">
      <w:pPr>
        <w:spacing w:after="12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Aceptada (decisión dudosa documentada)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ruads1jaqsc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Contexto</w:t>
      </w:r>
    </w:p>
    <w:p w:rsidR="00000000" w:rsidDel="00000000" w:rsidP="00000000" w:rsidRDefault="00000000" w:rsidRPr="00000000" w14:paraId="000000B0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El modelo de dominio de la Unidad 2 tenía Orden de servicio y Servicio como entidades 1:1, e Incidencia y Evidencia asociadas al servicio. El glosario define Historial, Incidencia, Evidencia y Asignación. Hay que decidir el límite de consistencia.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h7f2pf8e09y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Alternativas</w:t>
      </w:r>
    </w:p>
    <w:p w:rsidR="00000000" w:rsidDel="00000000" w:rsidP="00000000" w:rsidRDefault="00000000" w:rsidRPr="00000000" w14:paraId="000000B2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Agregados separados Orden, Servicio e Incidencia: más flexible, pero el historial y las transiciones de estado se coordinarían entre agregados.</w:t>
      </w:r>
    </w:p>
    <w:p w:rsidR="00000000" w:rsidDel="00000000" w:rsidP="00000000" w:rsidRDefault="00000000" w:rsidRPr="00000000" w14:paraId="000000B3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</w:t>
      </w:r>
      <w:r w:rsidDel="00000000" w:rsidR="00000000" w:rsidRPr="00000000">
        <w:rPr>
          <w:b w:val="1"/>
          <w:bCs w:val="1"/>
          <w:rtl w:val="0"/>
        </w:rPr>
        <w:t xml:space="preserve">Un solo agregado `OrdenDeServicio`</w:t>
      </w:r>
      <w:r w:rsidDel="00000000" w:rsidR="00000000" w:rsidRPr="00000000">
        <w:rPr>
          <w:rtl w:val="0"/>
        </w:rPr>
        <w:t xml:space="preserve"> (el servicio se identifica con su orden), con Asignacion, EntradaDeHistorial, Incidencia y evidencias asociadas.</w:t>
      </w:r>
    </w:p>
    <w:p w:rsidR="00000000" w:rsidDel="00000000" w:rsidP="00000000" w:rsidRDefault="00000000" w:rsidRPr="00000000" w14:paraId="000000B4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Cotización dentro de la orden: descartado; la cotización existe antes y puede ser rechazada.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41nuiq4n6sq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Decisión</w:t>
      </w:r>
    </w:p>
    <w:p w:rsidR="00000000" w:rsidDel="00000000" w:rsidP="00000000" w:rsidRDefault="00000000" w:rsidRPr="00000000" w14:paraId="000000B6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Cotizacion y OrdenDeServicio son agregados distintos. Unidad y Operador son entidades propias (sus datos cambian con independencia de la orden). Todo cambio de estado, asignación o incidencia pasa por la raíz y deja entrada en el historial. Las referencias entre agregados son por identificador.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tj5mu3938k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Consecuencias</w:t>
      </w:r>
    </w:p>
    <w:p w:rsidR="00000000" w:rsidDel="00000000" w:rsidP="00000000" w:rsidRDefault="00000000" w:rsidRPr="00000000" w14:paraId="000000B8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Beneficio: invariantes (historial siempre actualizado, evidencias asociadas, transiciones válidas) se protegen en un solo punto.</w:t>
      </w:r>
    </w:p>
    <w:p w:rsidR="00000000" w:rsidDel="00000000" w:rsidP="00000000" w:rsidRDefault="00000000" w:rsidRPr="00000000" w14:paraId="000000B9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Costo: el agregado puede crecer con muchas incidencias; se acepta por el volumen esperado de un servicio.</w:t>
      </w:r>
    </w:p>
    <w:p w:rsidR="00000000" w:rsidDel="00000000" w:rsidP="00000000" w:rsidRDefault="00000000" w:rsidRPr="00000000" w14:paraId="000000BA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Hallazgo para U2: el estado Solicitado/Cotizado ocurre antes de que exista la orden; se mantienen en EstadoServicio por ser los estados del caso, y la cotización conserva su propio estado.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w2yll9kfih4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Trazabilidad</w:t>
      </w:r>
    </w:p>
    <w:p w:rsidR="00000000" w:rsidDel="00000000" w:rsidP="00000000" w:rsidRDefault="00000000" w:rsidRPr="00000000" w14:paraId="000000BC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N1, N2, N4, N5; US-09 a US-13; BPMN: T4, T8, T10, T11, T15–T21; glosario: Orden de servicio, Servicio de transporte, Historial, Incidencia, Evidencia, Asignación.</w:t>
      </w:r>
    </w:p>
    <w:p w:rsidR="00000000" w:rsidDel="00000000" w:rsidP="00000000" w:rsidRDefault="00000000" w:rsidRPr="00000000" w14:paraId="000000BD">
      <w:pPr>
        <w:spacing w:line="259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unjxya561lpu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ADR-006: Los pendientes del BRD se modelan como supuestos explícitos y configurables</w:t>
      </w:r>
    </w:p>
    <w:p w:rsidR="00000000" w:rsidDel="00000000" w:rsidP="00000000" w:rsidRDefault="00000000" w:rsidRPr="00000000" w14:paraId="000000BF">
      <w:pPr>
        <w:spacing w:after="12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Propuesta (los supuestos deben validarse con el stakeholder)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tdzgachpco7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Contexto</w:t>
      </w:r>
    </w:p>
    <w:p w:rsidR="00000000" w:rsidDel="00000000" w:rsidP="00000000" w:rsidRDefault="00000000" w:rsidRPr="00000000" w14:paraId="000000C1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El BRD dejó sin definir los límites de capacidad, los controles de carga de alto valor, la conservación de evidencias, la autoridad de cancelación y la definición de "cumplimiento de entregas". La guía prohíbe inventar reglas, pero permite supuestos identificados como pendientes de validar. Un diseño que ignora esos puntos no puede completarse ni probarse.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49scymw8js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Alternativas</w:t>
      </w:r>
    </w:p>
    <w:p w:rsidR="00000000" w:rsidDel="00000000" w:rsidP="00000000" w:rsidRDefault="00000000" w:rsidRPr="00000000" w14:paraId="000000C3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Dejarlos sin modelar: respeta el BRD pero deja huecos en el diseño y en las pruebas.</w:t>
      </w:r>
    </w:p>
    <w:p w:rsidR="00000000" w:rsidDel="00000000" w:rsidP="00000000" w:rsidRDefault="00000000" w:rsidRPr="00000000" w14:paraId="000000C4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Fijar valores concretos (p. ej. "máximo 20 t", "conservar 5 años"): inventa políticas del negocio.</w:t>
      </w:r>
    </w:p>
    <w:p w:rsidR="00000000" w:rsidDel="00000000" w:rsidP="00000000" w:rsidRDefault="00000000" w:rsidRPr="00000000" w14:paraId="000000C5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</w:t>
      </w:r>
      <w:r w:rsidDel="00000000" w:rsidR="00000000" w:rsidRPr="00000000">
        <w:rPr>
          <w:b w:val="1"/>
          <w:bCs w:val="1"/>
          <w:rtl w:val="0"/>
        </w:rPr>
        <w:t xml:space="preserve">Supuestos explícitos y configurables</w:t>
      </w:r>
      <w:r w:rsidDel="00000000" w:rsidR="00000000" w:rsidRPr="00000000">
        <w:rPr>
          <w:rtl w:val="0"/>
        </w:rPr>
        <w:t xml:space="preserve">: se implementa el mecanismo, el valor es un parámetro y cada supuesto queda numerado, documentado y probado.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9lxlnrc6wm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Decisión</w:t>
      </w:r>
    </w:p>
    <w:p w:rsidR="00000000" w:rsidDel="00000000" w:rsidP="00000000" w:rsidRDefault="00000000" w:rsidRPr="00000000" w14:paraId="000000C7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Se adoptan los supuestos S-01 a S-05 descritos en docs/05_supuestos_pendientes.md. Ninguno fija una cifra del negocio: S-01 y S-03 usan None (sin tope / sin caducidad) por defecto; S-02 y S-04 asumen que Operaciones autoriza; S-05 calcula el cumplimiento contra la fecha requerida del cliente. Se agrega el estado CANCELADO.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1v764gkaslk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Consecuencias</w:t>
      </w:r>
    </w:p>
    <w:p w:rsidR="00000000" w:rsidDel="00000000" w:rsidP="00000000" w:rsidRDefault="00000000" w:rsidRPr="00000000" w14:paraId="000000C9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Beneficio: el diseño queda completo, probado y cada decisión es reversible sin tocar la arquitectura.</w:t>
      </w:r>
    </w:p>
    <w:p w:rsidR="00000000" w:rsidDel="00000000" w:rsidP="00000000" w:rsidRDefault="00000000" w:rsidRPr="00000000" w14:paraId="000000CA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Costo: más código (2 handlers, 2 políticas, 1 estado) que podría cambiar si el stakeholder responde distinto.</w:t>
      </w:r>
    </w:p>
    <w:p w:rsidR="00000000" w:rsidDel="00000000" w:rsidP="00000000" w:rsidRDefault="00000000" w:rsidRPr="00000000" w14:paraId="000000CB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Riesgo: que un supuesto se tome por regla real; se mitiga marcándolos en código, diagramas y documentos.</w:t>
      </w:r>
    </w:p>
    <w:p w:rsidR="00000000" w:rsidDel="00000000" w:rsidP="00000000" w:rsidRDefault="00000000" w:rsidRPr="00000000" w14:paraId="000000CC">
      <w:pPr>
        <w:spacing w:after="60" w:line="259" w:lineRule="auto"/>
        <w:ind w:left="800" w:hanging="260"/>
        <w:rPr/>
      </w:pPr>
      <w:r w:rsidDel="00000000" w:rsidR="00000000" w:rsidRPr="00000000">
        <w:rPr>
          <w:rtl w:val="0"/>
        </w:rPr>
        <w:t xml:space="preserve">•     Trabajo posterior: confirmar cada supuesto con el stakeholder y actualizar este ADR a "Aceptada" o "Reemplazada".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a835qs50bk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Trazabilidad</w:t>
      </w:r>
    </w:p>
    <w:p w:rsidR="00000000" w:rsidDel="00000000" w:rsidP="00000000" w:rsidRDefault="00000000" w:rsidRPr="00000000" w14:paraId="000000CE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N8, N4, N5, N7; US-05, US-16; BPMN: G2, S2, T5, G5, T5A, E2; pruebas test_s01_* a test_s05_*.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mountaingoatsoftware.com/agile/user-stories" TargetMode="External"/><Relationship Id="rId9" Type="http://schemas.openxmlformats.org/officeDocument/2006/relationships/hyperlink" Target="https://www.atlassian.com/es/agile/project-management/user-stories" TargetMode="External"/><Relationship Id="rId5" Type="http://schemas.openxmlformats.org/officeDocument/2006/relationships/styles" Target="styles.xml"/><Relationship Id="rId6" Type="http://schemas.openxmlformats.org/officeDocument/2006/relationships/hyperlink" Target="https://universidadeuropea.com/blog/stakeholders/" TargetMode="External"/><Relationship Id="rId7" Type="http://schemas.openxmlformats.org/officeDocument/2006/relationships/hyperlink" Target="https://slite.com/es/learn/documento-de-requisitos-comerciales-brd" TargetMode="External"/><Relationship Id="rId8" Type="http://schemas.openxmlformats.org/officeDocument/2006/relationships/hyperlink" Target="https://www.heflo.com/es/blog/documento-requisitos-negocio-brd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