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m07r7e53lmk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¿Qué evidencia del negocio influyó más en la selección del patrón?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tl w:val="0"/>
        </w:rPr>
        <w:t xml:space="preserve">Influyó sobre todo que la orden de servicio tiene </w:t>
      </w:r>
      <w:r w:rsidDel="00000000" w:rsidR="00000000" w:rsidRPr="00000000">
        <w:rPr>
          <w:b w:val="1"/>
          <w:bCs w:val="1"/>
          <w:rtl w:val="0"/>
        </w:rPr>
        <w:t xml:space="preserve">ocho estados con transiciones restringidas, nueve excepciones y un historial obligatorio (N2)</w:t>
      </w:r>
      <w:r w:rsidDel="00000000" w:rsidR="00000000" w:rsidRPr="00000000">
        <w:rPr>
          <w:rtl w:val="0"/>
        </w:rPr>
        <w:t xml:space="preserve">, junto con reglas que cruzan varios conceptos: la orden solo nace de una cotización aceptada (US-06), la unidad debe tener capacidad suficiente y el operador estar disponible (US-07, G2), y la entrega exige receptor y evidencia (US-12 y US-13). Con Transaction Script esas validaciones se repetirían en cada operación; con Domain Model quedan en la raíz del agregado. Además, el BRD deja pendientes que cambiarán, lo que favorece reglas aisladas y reemplazables.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58zcjs39elv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¿Qué responsabilidad fue la más difícil de ubicar y cómo tomaron la decisión?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 xml:space="preserve">La más difícil fue </w:t>
      </w:r>
      <w:r w:rsidDel="00000000" w:rsidR="00000000" w:rsidRPr="00000000">
        <w:rPr>
          <w:b w:val="1"/>
          <w:bCs w:val="1"/>
          <w:rtl w:val="0"/>
        </w:rPr>
        <w:t xml:space="preserve">dónde vive la regla de capacidad de la unidad</w:t>
      </w:r>
      <w:r w:rsidDel="00000000" w:rsidR="00000000" w:rsidRPr="00000000">
        <w:rPr>
          <w:rtl w:val="0"/>
        </w:rPr>
        <w:t xml:space="preserve">, porque el BRD exige capacidad suficiente pero no define límites y prohíbe inventarlos. No la pusimos dentro de </w:t>
      </w:r>
      <w:r w:rsidDel="00000000" w:rsidR="00000000" w:rsidRPr="00000000">
        <w:rPr>
          <w:rtl w:val="0"/>
        </w:rPr>
        <w:t xml:space="preserve">Unidad</w:t>
      </w:r>
      <w:r w:rsidDel="00000000" w:rsidR="00000000" w:rsidRPr="00000000">
        <w:rPr>
          <w:rtl w:val="0"/>
        </w:rPr>
        <w:t xml:space="preserve"> (habría que editar la clase con cada política) ni en el handler (mezclaría negocio con coordinación). La decidimos como interfaz </w:t>
      </w:r>
      <w:r w:rsidDel="00000000" w:rsidR="00000000" w:rsidRPr="00000000">
        <w:rPr>
          <w:rtl w:val="0"/>
        </w:rPr>
        <w:t xml:space="preserve">PoliticaDeCapacidad</w:t>
      </w:r>
      <w:r w:rsidDel="00000000" w:rsidR="00000000" w:rsidRPr="00000000">
        <w:rPr>
          <w:rtl w:val="0"/>
        </w:rPr>
        <w:t xml:space="preserve"> que usa el servicio de dominio </w:t>
      </w:r>
      <w:r w:rsidDel="00000000" w:rsidR="00000000" w:rsidRPr="00000000">
        <w:rPr>
          <w:rtl w:val="0"/>
        </w:rPr>
        <w:t xml:space="preserve">AsignadorDeRecursos</w:t>
      </w:r>
      <w:r w:rsidDel="00000000" w:rsidR="00000000" w:rsidRPr="00000000">
        <w:rPr>
          <w:rtl w:val="0"/>
        </w:rPr>
        <w:t xml:space="preserve">, y los límites propios quedan como el supuesto S-01 (ADR-004). También fue dudoso el límite del agregado, y decidimos que orden y seguimiento del servicio sean un solo agregado </w:t>
      </w:r>
      <w:r w:rsidDel="00000000" w:rsidR="00000000" w:rsidRPr="00000000">
        <w:rPr>
          <w:rtl w:val="0"/>
        </w:rPr>
        <w:t xml:space="preserve">OrdenDeServicio</w:t>
      </w:r>
      <w:r w:rsidDel="00000000" w:rsidR="00000000" w:rsidRPr="00000000">
        <w:rPr>
          <w:rtl w:val="0"/>
        </w:rPr>
        <w:t xml:space="preserve"> (ADR-005).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gc1v2fw2k8c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¿Qué regla protege el diseño y qué ocurriría si estuviera en una capa incorrecta?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Una regla central es que </w:t>
      </w:r>
      <w:r w:rsidDel="00000000" w:rsidR="00000000" w:rsidRPr="00000000">
        <w:rPr>
          <w:b w:val="1"/>
          <w:bCs w:val="1"/>
          <w:rtl w:val="0"/>
        </w:rPr>
        <w:t xml:space="preserve">la entrega solo se registra si el servicio llegó a destino y existen receptor y evidencia</w:t>
      </w:r>
      <w:r w:rsidDel="00000000" w:rsidR="00000000" w:rsidRPr="00000000">
        <w:rPr>
          <w:rtl w:val="0"/>
        </w:rPr>
        <w:t xml:space="preserve">; vive en </w:t>
      </w:r>
      <w:r w:rsidDel="00000000" w:rsidR="00000000" w:rsidRPr="00000000">
        <w:rPr>
          <w:rtl w:val="0"/>
        </w:rPr>
        <w:t xml:space="preserve">OrdenDeServicio.registrar_entrega</w:t>
      </w:r>
      <w:r w:rsidDel="00000000" w:rsidR="00000000" w:rsidRPr="00000000">
        <w:rPr>
          <w:rtl w:val="0"/>
        </w:rPr>
        <w:t xml:space="preserve">. Si estuviera en el handler o en la interfaz, otro caso de uso o una consulta podría saltarse la validación, la regla se duplicaría y la orden podría quedar ENTREGADO sin evidencia, incumpliendo N4. Igual con la regla de que la orden solo se genera tras la aceptación de la cotización.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jidzes3nz2f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¿Qué cambió después de la revisión con SOLID?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Se reemplazó una condición fija de capacidad por la abstracción </w:t>
      </w:r>
      <w:r w:rsidDel="00000000" w:rsidR="00000000" w:rsidRPr="00000000">
        <w:rPr>
          <w:rtl w:val="0"/>
        </w:rPr>
        <w:t xml:space="preserve">PoliticaDeCapacidad</w:t>
      </w:r>
      <w:r w:rsidDel="00000000" w:rsidR="00000000" w:rsidRPr="00000000">
        <w:rPr>
          <w:rtl w:val="0"/>
        </w:rPr>
        <w:t xml:space="preserve"> (principio abierto/cerrado, ADR-004). Se confirmó que dominio y aplicación no importan infraestructura (inversión de dependencias) y que lectura y escritura están en interfaces separadas. </w:t>
      </w:r>
      <w:r w:rsidDel="00000000" w:rsidR="00000000" w:rsidRPr="00000000">
        <w:rPr>
          <w:b w:val="1"/>
          <w:bCs w:val="1"/>
          <w:rtl w:val="0"/>
        </w:rPr>
        <w:t xml:space="preserve">Tres puntos no se corrigieron y los dejamos como riesgos aceptados</w:t>
      </w:r>
      <w:r w:rsidDel="00000000" w:rsidR="00000000" w:rsidRPr="00000000">
        <w:rPr>
          <w:rtl w:val="0"/>
        </w:rPr>
        <w:t xml:space="preserve">: el tamaño de </w:t>
      </w:r>
      <w:r w:rsidDel="00000000" w:rsidR="00000000" w:rsidRPr="00000000">
        <w:rPr>
          <w:rtl w:val="0"/>
        </w:rPr>
        <w:t xml:space="preserve">OrdenDeServicio</w:t>
      </w:r>
      <w:r w:rsidDel="00000000" w:rsidR="00000000" w:rsidRPr="00000000">
        <w:rPr>
          <w:rtl w:val="0"/>
        </w:rPr>
        <w:t xml:space="preserve">, que </w:t>
      </w:r>
      <w:r w:rsidDel="00000000" w:rsidR="00000000" w:rsidRPr="00000000">
        <w:rPr>
          <w:rtl w:val="0"/>
        </w:rPr>
        <w:t xml:space="preserve">IUnitOfWork</w:t>
      </w:r>
      <w:r w:rsidDel="00000000" w:rsidR="00000000" w:rsidRPr="00000000">
        <w:rPr>
          <w:rtl w:val="0"/>
        </w:rPr>
        <w:t xml:space="preserve"> expone los cuatro repositorios, y que cada interfaz tiene una sola implementación.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qwowba67lro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¿Qué propuesta de la IA rechazaron o corrigieron y por qué?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  <w:t xml:space="preserve">Corregimos varias: (1) el ADR de persistencia asumía clases de base de datos («Bd…») que el BRD no define; las cambiamos por interfaces del dominio e implementaciones en memoria. (2) El BPMN usaba IDs distintos a la matriz de la U2; los unificamos. (3) En la secuencia 2 la rama de error seguía guardando; ahora termina en revertir y no publica eventos. (4) Nombres que no coincidían con el glosario; actualizamos el glosario. Y para los pendientes del BRD, elegimos supuestos explícitos en lugar de inventar reglas.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62lyxcvhdw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wyb07sgb36z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¿Qué consecuencia negativa aceptaron al tomar su decisión arquitectural principal?</w:t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  <w:t xml:space="preserve">Domain Model exige </w:t>
      </w:r>
      <w:r w:rsidDel="00000000" w:rsidR="00000000" w:rsidRPr="00000000">
        <w:rPr>
          <w:b w:val="1"/>
          <w:bCs w:val="1"/>
          <w:rtl w:val="0"/>
        </w:rPr>
        <w:t xml:space="preserve">más diseño previo, más clases y una curva de aprendizaje</w:t>
      </w:r>
      <w:r w:rsidDel="00000000" w:rsidR="00000000" w:rsidRPr="00000000">
        <w:rPr>
          <w:rtl w:val="0"/>
        </w:rPr>
        <w:t xml:space="preserve">, y hay riesgo de sobre-modelar; lo mitigamos modelando solo lo que aparece en el BRD. Aceptamos también que </w:t>
      </w:r>
      <w:r w:rsidDel="00000000" w:rsidR="00000000" w:rsidRPr="00000000">
        <w:rPr>
          <w:rtl w:val="0"/>
        </w:rPr>
        <w:t xml:space="preserve">OrdenDeServicio</w:t>
      </w:r>
      <w:r w:rsidDel="00000000" w:rsidR="00000000" w:rsidRPr="00000000">
        <w:rPr>
          <w:rtl w:val="0"/>
        </w:rPr>
        <w:t xml:space="preserve"> sea una clase grande, que haya abstracciones con una sola implementación hoy (</w:t>
      </w:r>
      <w:r w:rsidDel="00000000" w:rsidR="00000000" w:rsidRPr="00000000">
        <w:rPr>
          <w:rtl w:val="0"/>
        </w:rPr>
        <w:t xml:space="preserve">PoliticaDeCapacidad</w:t>
      </w:r>
      <w:r w:rsidDel="00000000" w:rsidR="00000000" w:rsidRPr="00000000">
        <w:rPr>
          <w:rtl w:val="0"/>
        </w:rPr>
        <w:t xml:space="preserve">), y que parte del comportamiento dependa de supuestos que todavía no valida el stakeholder.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