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  <w:highlight w:val="yellow"/>
        </w:rPr>
      </w:pPr>
      <w:bookmarkStart w:colFirst="0" w:colLast="0" w:name="_mz74mralrl6d" w:id="0"/>
      <w:bookmarkEnd w:id="0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Matriz de la Unidad 2: cobertura por necesidad (actualizada)</w:t>
      </w:r>
    </w:p>
    <w:tbl>
      <w:tblPr>
        <w:tblStyle w:val="Table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2.4472289521507"/>
        <w:gridCol w:w="940.292171411266"/>
        <w:gridCol w:w="1144.7035130224108"/>
        <w:gridCol w:w="2425.681253785585"/>
        <w:gridCol w:w="2180.387643852211"/>
        <w:tblGridChange w:id="0">
          <w:tblGrid>
            <w:gridCol w:w="1812.4472289521507"/>
            <w:gridCol w:w="940.292171411266"/>
            <w:gridCol w:w="1144.7035130224108"/>
            <w:gridCol w:w="2425.681253785585"/>
            <w:gridCol w:w="2180.3876438522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Necesidad BRD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Preguntas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stories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Elementos BPMN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 de éxito / observación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 · Centralizar la información de los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P1–P5,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US-01 a US-06, US-17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T1, T2, T3, T4, 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 cada servicio se encuentra centralizada y consultable.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 · Mejorar el seguimiento mediante estados y eventos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P1, P4, P6, P7, P8, P11,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US-04 a US-08, US-10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T4, T6, T8, T10, T11, T16, T19, G2, T7, T5A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estado actual y los eventos importantes pueden consultarse.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N3 · Reducir la dependencia de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P12, P18,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US-11, US-14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T12, T20 (reporte registrado en el sistema), T22, 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Atención al Cliente puede obtener información sin depender de mensajes dispersos de WhatsApp.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N4 · Conservar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P10, P13, P15, P17,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US-09, US-12, 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T10, T14, T19, T20 y objetos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Las evidencias de recepción y entrega están asociadas al servicio.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N5 · Registrar y dar seguimiento a excepciones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P8, P9, P10, P12, P14, P15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US-08, US-09, US-11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G2, T7, G3, T14, T15, B1, T12, T13, G4, T20, T21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Los cambios e incidencias quedan registrados con su contexto.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N6 · Consulta desde Atención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T22, 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Atención al Cliente puede obtener información sin depender de mensajes dispersos de WhatsApp.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N7 · Información histórica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P19, 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T23, 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 puede consultar información histórica para analizar tiempos, retrasos, incidencias y cumplimiento.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N8 · Controles para cargas de alto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G2 (autorización previa a la asignación), anotación 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Actualizado: se concreta como supuesto S-02 (por validar); las condiciones definitivas siguen pendientes.</w:t>
            </w:r>
          </w:p>
        </w:tc>
      </w:tr>
    </w:tbl>
    <w:p w:rsidR="00000000" w:rsidDel="00000000" w:rsidP="00000000" w:rsidRDefault="00000000" w:rsidRPr="00000000" w14:paraId="0000002F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ino8ani8g7he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Matriz de la Unidad 2: elementos del BPMN (actualizada)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3.624545729861"/>
        <w:gridCol w:w="2820.8765142337984"/>
        <w:gridCol w:w="1580.781041792853"/>
        <w:gridCol w:w="1376.3697001817084"/>
        <w:gridCol w:w="1321.8600090854031"/>
        <w:tblGridChange w:id="0">
          <w:tblGrid>
            <w:gridCol w:w="1403.624545729861"/>
            <w:gridCol w:w="2820.8765142337984"/>
            <w:gridCol w:w="1580.781041792853"/>
            <w:gridCol w:w="1376.3697001817084"/>
            <w:gridCol w:w="1321.860009085403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Carril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stories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Necesidades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S1 / 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Solicitar cotización (Estado: Solicitado)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Preparar y presentar cotización (Estado: Cotizado)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G1 / 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Respuesta del cliente / Modificar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Cliente /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US-03, US-17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Cotización rechazada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Generar orden de servicio (Estado: Confirmado)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S2 / T5 / G5 / T5A / T5B / E2 / E2B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Cambio o cancelación posterior a la orden: registrar solicitud, ¿es cancelación?, registrar cancelación o revisar el cambio con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US-04, US-05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T6 / 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Revisar carga y recursos / ¿Unidad adecuada y operador disponible?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Buscar reemplazo y conservar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N2, N5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Asignar unidad y operador (Estado: Unidad asignada)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US-07, US-10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T9 / G3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Recibir y validar la mercancía / ¿Coincide con lo declarado?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N4, N5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recepción (Estado: Recolectado)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US-09, US-10, 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N2, N4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Trasladar la mercancía (Estado: En tránsito)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B1 / T12 / T13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Avería o retraso: registrar, reportar y definir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 /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N3, N5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T14 / T15 / 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Incidencia en origen: registrar, reportar y evaluar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 /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US-09, US-11, 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N4, N5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Llegar a destino (Estado: Llegada a destino)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US-10, US-12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T17 / T18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Entregar la mercancía / Recibir la mercancía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 / Destinatario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¿Entrega posible, completa y sin daño?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T19 / 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la entrega (Estado: Entregado)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US-10, US-12, 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N2, N4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T20 / T21 / 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Incidencia en destino: registrar, evaluar y dar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Operador / 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US-11, US-13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N4, N5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S3 / T22 / E8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Consultar el servicio (bajo demanda)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Atención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N3, N6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S4 / T23 / E7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(bajo demanda)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Registro centralizado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Atención al Cliente (lectura) / todas las tareas (escritura)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US-14, US-15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N6, N7</w:t>
            </w:r>
          </w:p>
        </w:tc>
      </w:tr>
    </w:tbl>
    <w:p w:rsidR="00000000" w:rsidDel="00000000" w:rsidP="00000000" w:rsidRDefault="00000000" w:rsidRPr="00000000" w14:paraId="000000A4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Cambios respecto a la matriz de la Unidad 2:</w:t>
      </w:r>
      <w:r w:rsidDel="00000000" w:rsidR="00000000" w:rsidRPr="00000000">
        <w:rPr>
          <w:rtl w:val="0"/>
        </w:rPr>
        <w:t xml:space="preserve"> (1) N8 pasa de «pendiente» a «parcial» con la autorización de alto valor (G2, S-02); (2) la fila de cambio o cancelación incorpora G5, T5A, T5B y E2B; (3) las consultas incorporan sus eventos de inicio y fin (S3, E8, S4, E7). No se eliminó ningún elemento ni se cambió ningún ID.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fjezhdkv7j4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Matriz de la Unidad 3: casos de uso → componentes</w:t>
      </w:r>
    </w:p>
    <w:p w:rsidR="00000000" w:rsidDel="00000000" w:rsidP="00000000" w:rsidRDefault="00000000" w:rsidRPr="00000000" w14:paraId="000000A7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Ver también docs/04_matriz_trazabilidad.md. Los IDs de pruebas (test_cu01_*, etc.) corresponden a las pruebas automatizadas.</w:t>
      </w:r>
    </w:p>
    <w:tbl>
      <w:tblPr>
        <w:tblStyle w:val="Table3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9.242325046448"/>
        <w:gridCol w:w="914.5028753428295"/>
        <w:gridCol w:w="900.8535786959216"/>
        <w:gridCol w:w="1105.5930283995401"/>
        <w:gridCol w:w="2866.35229585066"/>
        <w:gridCol w:w="723.4127222861189"/>
        <w:gridCol w:w="873.5549854021059"/>
        <w:tblGridChange w:id="0">
          <w:tblGrid>
            <w:gridCol w:w="1119.242325046448"/>
            <w:gridCol w:w="914.5028753428295"/>
            <w:gridCol w:w="900.8535786959216"/>
            <w:gridCol w:w="1105.5930283995401"/>
            <w:gridCol w:w="2866.35229585066"/>
            <w:gridCol w:w="723.4127222861189"/>
            <w:gridCol w:w="873.554985402105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Necesidades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Historias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Elementos BPMN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Componentes (diagrama de clases)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ADR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Pruebas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CU-01 Responder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US-01, 02, 03,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S1, T1, T2, T3, G1, 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ResponderCotizacionHandler, Cotizacion, SolicitudDeCotizacion, CotizacionAceptada, ICotizacionRepository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001, 002, 005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test_cu01_*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CU-02 Generar orden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US-05,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GenerarOrdenDeServicioHandler, OrdenDeServicio.generarDesde, OrdenDeServicioGenerada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001, 005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test_cu02_*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CU-03 Asignar unidad y 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N2, N5 (N8 pendiente)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US-07, 08,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T6, G2, T7, 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AsignarRecursosHandler, AsignadorDeRecursos, PoliticaDeCapacidad, Asignacion, RecursosAsignados, Unidad, 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001, 004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test_cu03_*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CU-04 Registrar entrega o incidencia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N2, N4, N5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US-10, 11, 12,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T16, T17, T18, G4, T19, T20, T21, E4, 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RegistrarEntregaHandler, OrdenDeServicio.registrarEntrega / registrarIncidencia, Incidencia, Evidencia, Destinatario, EntregaRegistrada, IncidenciaRegistrada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001, 005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test_cu04_*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CU-06 Cancelar servicio (S-04)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N1, N2, N5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S2, T5, G5, T5A, T5B, E2, E2B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CancelarServicioHandler, AutoridadDeCancelacion, OrdenDeServicio.cancelar, ServicioCancelado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test_s04_*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CU-07 Autorizar carga de alto valor (S-02)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AutorizarCargaDeAltoValorHandler, Mercancia.altoValor, OrdenDeServicio.autorizarAltoValor, CargaDeAltoValorAutorizada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test_s02_*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CU-05 Consultar estado e indicadores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N3, N6, N7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US-14,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T22, T23, DS1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ConsultarEstadoDelServicioHandler, ConsultarIndicadoresHandler, IConsultaDeServicios, EstadoDelServicioDTO, IndicadoresDTO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test_cu05_*</w:t>
            </w:r>
          </w:p>
        </w:tc>
      </w:tr>
    </w:tbl>
    <w:p w:rsidR="00000000" w:rsidDel="00000000" w:rsidP="00000000" w:rsidRDefault="00000000" w:rsidRPr="00000000" w14:paraId="000000E0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woogl17h9la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b1gh5iw20vj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Matriz de la Unidad 3: reglas del negocio → dónde viven</w:t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400"/>
        <w:gridCol w:w="3255"/>
        <w:tblGridChange w:id="0">
          <w:tblGrid>
            <w:gridCol w:w="2850"/>
            <w:gridCol w:w="2400"/>
            <w:gridCol w:w="32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 (BRD / entrevista)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="259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Prueba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cotización solo se modifica mientras está en proceso (US-03)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Cotizacion (invariante)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test_cotizacion_solo_se_modifica_mientras_esta_en_proceso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orden solo se genera tras la aceptación (US-06)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OrdenDeServicio.generarDesde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test_cu02_orden_se_genera_solo_tras_aceptacion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Unidad con capacidad suficiente y operador disponible (G2)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AsignadorDeRecursos + PoliticaDeCapacidad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test_cu03_*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Reasignar conserva el historial (US-08)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OrdenDeServicio.asignarRecursos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test_cu03_reasignar_conserva_el_historial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Todo cambio de estado e incidencia queda en el historial (N2)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test_toda_incidencia_queda_en_el_historial_sin_cambiar_estado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entrega exige llegada a destino, receptor y evidencia (US-12, 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OrdenDeServicio.registrarEntrega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test_cu04_*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Una incidencia no entrega el servicio; Operaciones decide el siguiente paso (G4)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OrdenDeServicio.registrarIncidencia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test_cu04_destinatario_ausente_*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Las evidencias permanecen asociadas al servicio (N4)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agregado OrdenDeServicio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test_cu04_*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Atención al Cliente consulta sin depender de Operaciones (N6)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lado Query (CQRS)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test_cu05_*</w:t>
            </w:r>
          </w:p>
        </w:tc>
      </w:tr>
    </w:tbl>
    <w:p w:rsidR="00000000" w:rsidDel="00000000" w:rsidP="00000000" w:rsidRDefault="00000000" w:rsidRPr="00000000" w14:paraId="00000101">
      <w:pPr>
        <w:spacing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